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34" w:rsidRDefault="00FC6334" w:rsidP="00BB24D4">
      <w:pPr>
        <w:jc w:val="center"/>
        <w:rPr>
          <w:b/>
          <w:sz w:val="32"/>
          <w:szCs w:val="32"/>
        </w:rPr>
      </w:pPr>
      <w:bookmarkStart w:id="0" w:name="_GoBack"/>
      <w:bookmarkEnd w:id="0"/>
      <w:r>
        <w:rPr>
          <w:b/>
          <w:sz w:val="32"/>
          <w:szCs w:val="32"/>
        </w:rPr>
        <w:t>ANNEX 2</w:t>
      </w:r>
    </w:p>
    <w:p w:rsidR="00FC6334" w:rsidRDefault="00FC6334" w:rsidP="00BB24D4">
      <w:pPr>
        <w:jc w:val="center"/>
        <w:rPr>
          <w:b/>
          <w:sz w:val="32"/>
          <w:szCs w:val="32"/>
        </w:rPr>
      </w:pPr>
    </w:p>
    <w:p w:rsidR="005123B8" w:rsidRPr="009E2DF5" w:rsidRDefault="00F12882" w:rsidP="00BB24D4">
      <w:pPr>
        <w:jc w:val="center"/>
        <w:rPr>
          <w:b/>
          <w:sz w:val="32"/>
          <w:szCs w:val="32"/>
        </w:rPr>
      </w:pPr>
      <w:r w:rsidRPr="009E2DF5">
        <w:rPr>
          <w:b/>
          <w:sz w:val="32"/>
          <w:szCs w:val="32"/>
        </w:rPr>
        <w:t>NIHR Central Commissioning Facility</w:t>
      </w:r>
    </w:p>
    <w:p w:rsidR="00F12882" w:rsidRPr="009E2DF5" w:rsidRDefault="00F12882" w:rsidP="00BB24D4">
      <w:pPr>
        <w:jc w:val="center"/>
        <w:rPr>
          <w:b/>
          <w:sz w:val="32"/>
          <w:szCs w:val="32"/>
        </w:rPr>
      </w:pPr>
      <w:r w:rsidRPr="009E2DF5">
        <w:rPr>
          <w:b/>
          <w:sz w:val="32"/>
          <w:szCs w:val="32"/>
        </w:rPr>
        <w:t>Standard Operating Procedures</w:t>
      </w:r>
    </w:p>
    <w:p w:rsidR="00F12882" w:rsidRPr="00B94177" w:rsidRDefault="00F12882" w:rsidP="00BB24D4">
      <w:pPr>
        <w:jc w:val="center"/>
        <w:rPr>
          <w:b/>
          <w:sz w:val="28"/>
          <w:szCs w:val="28"/>
        </w:rPr>
      </w:pPr>
      <w:r w:rsidRPr="009E2DF5">
        <w:rPr>
          <w:b/>
          <w:sz w:val="32"/>
          <w:szCs w:val="32"/>
        </w:rPr>
        <w:t>February 2015</w:t>
      </w:r>
    </w:p>
    <w:p w:rsidR="00F12882" w:rsidRPr="00B94177" w:rsidRDefault="00F12882" w:rsidP="00BB24D4"/>
    <w:p w:rsidR="00FB59AD" w:rsidRPr="00B94177" w:rsidRDefault="00FB59AD" w:rsidP="00BB24D4">
      <w:pPr>
        <w:ind w:firstLine="720"/>
        <w:rPr>
          <w:u w:val="single"/>
        </w:rPr>
      </w:pPr>
      <w:r w:rsidRPr="00B94177">
        <w:rPr>
          <w:u w:val="single"/>
        </w:rPr>
        <w:t>Contents</w:t>
      </w:r>
    </w:p>
    <w:p w:rsidR="00FB59AD" w:rsidRPr="00B94177" w:rsidRDefault="00FB59AD" w:rsidP="00BB24D4">
      <w:pPr>
        <w:rPr>
          <w:u w:val="single"/>
        </w:rPr>
      </w:pPr>
    </w:p>
    <w:p w:rsidR="00F12882" w:rsidRPr="00B94177" w:rsidRDefault="00F12882" w:rsidP="00BB24D4">
      <w:r w:rsidRPr="00B94177">
        <w:t>1.</w:t>
      </w:r>
      <w:r w:rsidR="0018495A" w:rsidRPr="00B94177">
        <w:tab/>
        <w:t>Handling Requests for Information</w:t>
      </w:r>
      <w:r w:rsidRPr="00B94177">
        <w:tab/>
      </w:r>
    </w:p>
    <w:p w:rsidR="00F12882" w:rsidRPr="00B94177" w:rsidRDefault="00F12882" w:rsidP="00BB24D4">
      <w:r w:rsidRPr="00B94177">
        <w:t>2.</w:t>
      </w:r>
      <w:r w:rsidR="0018495A" w:rsidRPr="00B94177">
        <w:tab/>
      </w:r>
      <w:r w:rsidR="00B94177" w:rsidRPr="00B94177">
        <w:t>Responding to Parliamentary Questions</w:t>
      </w:r>
      <w:r w:rsidR="00B94177">
        <w:t xml:space="preserve"> from D</w:t>
      </w:r>
      <w:r w:rsidR="00B94177" w:rsidRPr="00B94177">
        <w:t>H</w:t>
      </w:r>
    </w:p>
    <w:p w:rsidR="00F12882" w:rsidRPr="00E510EB" w:rsidRDefault="00F12882" w:rsidP="00BB24D4">
      <w:r w:rsidRPr="00B94177">
        <w:t>3.</w:t>
      </w:r>
      <w:r w:rsidR="00B94177">
        <w:tab/>
      </w:r>
      <w:r w:rsidR="00E510EB" w:rsidRPr="00E510EB">
        <w:t>Programme and Project Electronic Records management</w:t>
      </w:r>
    </w:p>
    <w:p w:rsidR="00F12882" w:rsidRPr="00B94177" w:rsidRDefault="00F12882" w:rsidP="00BB24D4">
      <w:r w:rsidRPr="00B94177">
        <w:t>4.</w:t>
      </w:r>
      <w:r w:rsidR="00E510EB">
        <w:tab/>
      </w:r>
      <w:r w:rsidR="006947CC">
        <w:t>Pink File Management</w:t>
      </w:r>
    </w:p>
    <w:p w:rsidR="00F12882" w:rsidRPr="00B94177" w:rsidRDefault="00F12882" w:rsidP="00BB24D4">
      <w:r w:rsidRPr="00B94177">
        <w:t>5.</w:t>
      </w:r>
      <w:r w:rsidR="006947CC">
        <w:tab/>
      </w:r>
      <w:r w:rsidR="00D520D6" w:rsidRPr="00D520D6">
        <w:t>Payment of those supporting the NIHR commissioning process</w:t>
      </w:r>
    </w:p>
    <w:p w:rsidR="00F12882" w:rsidRPr="007D1F5F" w:rsidRDefault="00F12882" w:rsidP="00BB24D4">
      <w:r w:rsidRPr="00B94177">
        <w:t>6.</w:t>
      </w:r>
      <w:r w:rsidR="00D520D6">
        <w:tab/>
      </w:r>
      <w:r w:rsidR="007D1F5F" w:rsidRPr="007D1F5F">
        <w:t>Complaints by individuals seeking NIHR or PRP funding</w:t>
      </w:r>
    </w:p>
    <w:p w:rsidR="00F12882" w:rsidRPr="00B94177" w:rsidRDefault="00F12882" w:rsidP="00BB24D4"/>
    <w:p w:rsidR="0018495A" w:rsidRPr="00B94177" w:rsidRDefault="0018495A" w:rsidP="00BB24D4"/>
    <w:p w:rsidR="0018495A" w:rsidRPr="00B94177" w:rsidRDefault="0018495A" w:rsidP="00BB24D4">
      <w:r w:rsidRPr="00B94177">
        <w:br w:type="page"/>
      </w:r>
    </w:p>
    <w:p w:rsidR="0018495A" w:rsidRPr="003E7D59" w:rsidRDefault="0018495A" w:rsidP="00BB24D4">
      <w:pPr>
        <w:ind w:left="2127" w:hanging="2127"/>
        <w:rPr>
          <w:b/>
          <w:sz w:val="28"/>
          <w:szCs w:val="28"/>
          <w:u w:val="single"/>
        </w:rPr>
      </w:pPr>
      <w:r w:rsidRPr="003E7D59">
        <w:rPr>
          <w:b/>
          <w:sz w:val="28"/>
          <w:szCs w:val="28"/>
          <w:u w:val="single"/>
        </w:rPr>
        <w:lastRenderedPageBreak/>
        <w:t>Standard Operating Procedure Number 1</w:t>
      </w:r>
    </w:p>
    <w:p w:rsidR="0018495A" w:rsidRPr="003E7D59" w:rsidRDefault="0018495A" w:rsidP="00BB24D4">
      <w:pPr>
        <w:ind w:left="2127" w:hanging="2127"/>
        <w:rPr>
          <w:b/>
          <w:sz w:val="28"/>
          <w:szCs w:val="28"/>
        </w:rPr>
      </w:pPr>
      <w:r w:rsidRPr="003E7D59">
        <w:rPr>
          <w:b/>
          <w:sz w:val="28"/>
          <w:szCs w:val="28"/>
        </w:rPr>
        <w:t>Handling Requests for Information (Freedom of Information requests)</w:t>
      </w:r>
    </w:p>
    <w:p w:rsidR="0018495A" w:rsidRPr="003E7D59" w:rsidRDefault="0018495A" w:rsidP="00BB24D4">
      <w:pPr>
        <w:pStyle w:val="BodyText"/>
        <w:numPr>
          <w:ilvl w:val="0"/>
          <w:numId w:val="1"/>
        </w:numPr>
        <w:rPr>
          <w:rFonts w:asciiTheme="minorHAnsi" w:hAnsiTheme="minorHAnsi"/>
          <w:b/>
          <w:bCs/>
          <w:sz w:val="28"/>
          <w:szCs w:val="28"/>
        </w:rPr>
      </w:pPr>
      <w:r w:rsidRPr="003E7D59">
        <w:rPr>
          <w:rFonts w:asciiTheme="minorHAnsi" w:hAnsiTheme="minorHAnsi"/>
          <w:b/>
          <w:bCs/>
          <w:sz w:val="28"/>
        </w:rPr>
        <w:t>Background</w:t>
      </w:r>
    </w:p>
    <w:p w:rsidR="0018495A" w:rsidRPr="003E7D59" w:rsidRDefault="0018495A" w:rsidP="00BB24D4">
      <w:pPr>
        <w:jc w:val="both"/>
      </w:pPr>
      <w:r w:rsidRPr="003E7D59">
        <w:rPr>
          <w:bCs/>
        </w:rPr>
        <w:t xml:space="preserve">The Freedom of Information Act (2000) </w:t>
      </w:r>
      <w:r w:rsidRPr="003E7D59">
        <w:t xml:space="preserve">applies to public bodies. This includes central and local government, non-departmental public bodies, committees and advisory bodies and the health service, and essentially gives individuals rights to access any information held by a public authority. Any person can make a request under the Act - no restrictions on age, nationality, or place of residence. Any information can be requested - but some information might be withheld to protect various interests which are allowed for by the Act. Information on individuals is covered by the Data Protection Act. A </w:t>
      </w:r>
      <w:r w:rsidRPr="007D6CEA">
        <w:t xml:space="preserve">description of the FOI Act can be found on the Information Commissioner website </w:t>
      </w:r>
      <w:hyperlink r:id="rId12" w:history="1">
        <w:r w:rsidRPr="007D6CEA">
          <w:rPr>
            <w:rStyle w:val="Hyperlink"/>
            <w:color w:val="auto"/>
          </w:rPr>
          <w:t>here</w:t>
        </w:r>
      </w:hyperlink>
      <w:r w:rsidRPr="007D6CEA">
        <w:t>. As a managing agent on behalf of the</w:t>
      </w:r>
      <w:r w:rsidRPr="003E7D59">
        <w:t xml:space="preserve"> National Institute for Health Research, the Central Commissioning Facility can expect to get many requests which are covered by the Act. </w:t>
      </w:r>
    </w:p>
    <w:p w:rsidR="0018495A" w:rsidRPr="003E7D59" w:rsidRDefault="0018495A" w:rsidP="00BB24D4">
      <w:pPr>
        <w:jc w:val="both"/>
      </w:pPr>
      <w:r w:rsidRPr="003E7D59">
        <w:t>It is important to note that requests can be considered as Freedom of Information even if the enquirer does not cite the Act i.e. any request for information should be regarded as a potential FOI request. This procedure applies to both NIHR Programmes and Department of Health Policy Research Programmes (PRP) managed by CCF.</w:t>
      </w:r>
    </w:p>
    <w:p w:rsidR="0018495A" w:rsidRPr="003E7D59" w:rsidRDefault="0018495A" w:rsidP="00BB24D4">
      <w:pPr>
        <w:pStyle w:val="BodyText"/>
        <w:numPr>
          <w:ilvl w:val="0"/>
          <w:numId w:val="1"/>
        </w:numPr>
        <w:rPr>
          <w:rFonts w:asciiTheme="minorHAnsi" w:hAnsiTheme="minorHAnsi"/>
          <w:b/>
          <w:bCs/>
          <w:sz w:val="28"/>
          <w:szCs w:val="28"/>
        </w:rPr>
      </w:pPr>
      <w:r w:rsidRPr="003E7D59">
        <w:rPr>
          <w:rFonts w:asciiTheme="minorHAnsi" w:hAnsiTheme="minorHAnsi"/>
          <w:b/>
          <w:bCs/>
          <w:sz w:val="28"/>
        </w:rPr>
        <w:t>Policy</w:t>
      </w:r>
    </w:p>
    <w:p w:rsidR="0018495A" w:rsidRPr="007D6CEA" w:rsidRDefault="0018495A" w:rsidP="00BB24D4">
      <w:pPr>
        <w:jc w:val="both"/>
        <w:rPr>
          <w:bCs/>
        </w:rPr>
      </w:pPr>
      <w:r w:rsidRPr="007D6CEA">
        <w:rPr>
          <w:bCs/>
        </w:rPr>
        <w:t xml:space="preserve">This procedure does not apply to information that is already in the public domain (public domain in this case includes information which should be routinely disclosed, but may not (yet) have been published). If the information requested is already available, then the CCF should respond directly to the enquirer with the location of the information. In addition, this procedure does not apply where it is part of </w:t>
      </w:r>
      <w:r w:rsidR="00B94177" w:rsidRPr="007D6CEA">
        <w:rPr>
          <w:bCs/>
        </w:rPr>
        <w:t>CCF</w:t>
      </w:r>
      <w:r w:rsidRPr="007D6CEA">
        <w:rPr>
          <w:bCs/>
        </w:rPr>
        <w:t xml:space="preserve">’s normal service to DH to provide the information or where providing the information would be consistent with </w:t>
      </w:r>
      <w:r w:rsidR="00B94177" w:rsidRPr="007D6CEA">
        <w:rPr>
          <w:bCs/>
        </w:rPr>
        <w:t>CCF</w:t>
      </w:r>
      <w:r w:rsidRPr="007D6CEA">
        <w:rPr>
          <w:bCs/>
        </w:rPr>
        <w:t xml:space="preserve"> providing a good service in the interests of its client. The FOI Act requires that all public bodies adhere to a publication scheme. The DH scheme is on the DH website </w:t>
      </w:r>
      <w:hyperlink r:id="rId13" w:history="1">
        <w:r w:rsidRPr="007D6CEA">
          <w:rPr>
            <w:bCs/>
          </w:rPr>
          <w:t>here</w:t>
        </w:r>
      </w:hyperlink>
      <w:r w:rsidRPr="007D6CEA">
        <w:rPr>
          <w:bCs/>
        </w:rPr>
        <w:t xml:space="preserve">. Please note, that if the request for information cites the FOI Act, it must be treated as an FOI request, regardless of the information requested. </w:t>
      </w:r>
    </w:p>
    <w:p w:rsidR="0018495A" w:rsidRPr="007D6CEA" w:rsidRDefault="0018495A" w:rsidP="00BB24D4">
      <w:pPr>
        <w:jc w:val="both"/>
        <w:rPr>
          <w:bCs/>
        </w:rPr>
      </w:pPr>
      <w:r w:rsidRPr="007D6CEA">
        <w:rPr>
          <w:bCs/>
        </w:rPr>
        <w:t xml:space="preserve">If the information is not in the public domain, or if the Act has been cited, for requests made in writing, public authorities should provide the requested information within 20 working days or reply to the enquirer as to why the information cannot be provided i.e. if it is covered by one of the exemptions of the Act. If more time is needed, the enquirer must be told why this is and when the information will be available. It is the duty of the public body to respond to the request. This has an impact on how we respond to requests and it is important that this SOP is followed carefully. </w:t>
      </w:r>
    </w:p>
    <w:p w:rsidR="0018495A" w:rsidRPr="003E7D59" w:rsidRDefault="0018495A" w:rsidP="00BB24D4">
      <w:pPr>
        <w:pStyle w:val="BodyText"/>
        <w:numPr>
          <w:ilvl w:val="0"/>
          <w:numId w:val="1"/>
        </w:numPr>
        <w:rPr>
          <w:rFonts w:asciiTheme="minorHAnsi" w:hAnsiTheme="minorHAnsi"/>
          <w:b/>
          <w:bCs/>
          <w:sz w:val="28"/>
          <w:szCs w:val="28"/>
        </w:rPr>
      </w:pPr>
      <w:r w:rsidRPr="003E7D59">
        <w:rPr>
          <w:rFonts w:asciiTheme="minorHAnsi" w:hAnsiTheme="minorHAnsi"/>
          <w:b/>
          <w:bCs/>
          <w:sz w:val="28"/>
        </w:rPr>
        <w:t>Procedure</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rPr>
        <w:t>3.1</w:t>
      </w:r>
      <w:r w:rsidRPr="007D6CEA">
        <w:rPr>
          <w:rFonts w:asciiTheme="minorHAnsi" w:hAnsiTheme="minorHAnsi"/>
          <w:bCs/>
        </w:rPr>
        <w:t xml:space="preserve"> </w:t>
      </w:r>
      <w:r w:rsidRPr="007D6CEA">
        <w:rPr>
          <w:rFonts w:asciiTheme="minorHAnsi" w:hAnsiTheme="minorHAnsi"/>
          <w:bCs/>
          <w:sz w:val="22"/>
          <w:szCs w:val="22"/>
        </w:rPr>
        <w:t xml:space="preserve">All requests for information should be considered as potential FOI requests. When a request is received, the flowchart (section 4, below) should be followed in order to determine whether the request is FOI. This should be in consultation with the Research Information Manager who in turn will consult with other </w:t>
      </w:r>
      <w:r w:rsidR="00B94177" w:rsidRPr="007D6CEA">
        <w:rPr>
          <w:rFonts w:asciiTheme="minorHAnsi" w:hAnsiTheme="minorHAnsi"/>
          <w:sz w:val="22"/>
          <w:szCs w:val="22"/>
        </w:rPr>
        <w:t>CCF</w:t>
      </w:r>
      <w:r w:rsidRPr="007D6CEA">
        <w:rPr>
          <w:rFonts w:asciiTheme="minorHAnsi" w:hAnsiTheme="minorHAnsi"/>
          <w:bCs/>
          <w:sz w:val="22"/>
          <w:szCs w:val="22"/>
        </w:rPr>
        <w:t xml:space="preserve"> staff, if necessary. If you are unsure whether the request is potentially FOI, please ask the Research Information Manager for advice.</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rPr>
        <w:t>3.</w:t>
      </w:r>
      <w:r w:rsidRPr="007D6CEA">
        <w:rPr>
          <w:rFonts w:asciiTheme="minorHAnsi" w:hAnsiTheme="minorHAnsi"/>
          <w:b/>
          <w:bCs/>
          <w:sz w:val="22"/>
          <w:szCs w:val="22"/>
        </w:rPr>
        <w:t>2</w:t>
      </w:r>
      <w:r w:rsidRPr="007D6CEA">
        <w:rPr>
          <w:rFonts w:asciiTheme="minorHAnsi" w:hAnsiTheme="minorHAnsi"/>
          <w:bCs/>
          <w:sz w:val="22"/>
          <w:szCs w:val="22"/>
        </w:rPr>
        <w:t xml:space="preserve"> If the request is deemed to be covered by the FOI Act, the Research Information Manager should send a holding email to the enquirer telling them that their request is being dealt with and a response will be made within 20 working days. If the request is not deemed to be under the FOI Act, the Research </w:t>
      </w:r>
      <w:r w:rsidRPr="007D6CEA">
        <w:rPr>
          <w:rFonts w:asciiTheme="minorHAnsi" w:hAnsiTheme="minorHAnsi"/>
          <w:bCs/>
          <w:sz w:val="22"/>
          <w:szCs w:val="22"/>
        </w:rPr>
        <w:lastRenderedPageBreak/>
        <w:t xml:space="preserve">Information Manager will either provide the information or ask the most appropriate member of </w:t>
      </w:r>
      <w:r w:rsidR="00B94177" w:rsidRPr="007D6CEA">
        <w:rPr>
          <w:rFonts w:asciiTheme="minorHAnsi" w:hAnsiTheme="minorHAnsi"/>
          <w:sz w:val="22"/>
          <w:szCs w:val="22"/>
        </w:rPr>
        <w:t>CCF</w:t>
      </w:r>
      <w:r w:rsidRPr="007D6CEA">
        <w:rPr>
          <w:rFonts w:asciiTheme="minorHAnsi" w:hAnsiTheme="minorHAnsi"/>
          <w:bCs/>
          <w:sz w:val="22"/>
          <w:szCs w:val="22"/>
        </w:rPr>
        <w:t xml:space="preserve"> staff to advise the enquirer of the location of the information (making it available online if it ought to have already been published – again, the Research Information Manager can advise). If the request is for information that is not held within </w:t>
      </w:r>
      <w:r w:rsidR="00B94177" w:rsidRPr="007D6CEA">
        <w:rPr>
          <w:rFonts w:asciiTheme="minorHAnsi" w:hAnsiTheme="minorHAnsi"/>
          <w:sz w:val="22"/>
          <w:szCs w:val="22"/>
        </w:rPr>
        <w:t>CCF</w:t>
      </w:r>
      <w:r w:rsidRPr="007D6CEA">
        <w:rPr>
          <w:rFonts w:asciiTheme="minorHAnsi" w:hAnsiTheme="minorHAnsi"/>
          <w:bCs/>
          <w:sz w:val="22"/>
          <w:szCs w:val="22"/>
        </w:rPr>
        <w:t xml:space="preserve"> or the Research Information Manager believes a response from </w:t>
      </w:r>
      <w:r w:rsidR="00B94177" w:rsidRPr="007D6CEA">
        <w:rPr>
          <w:rFonts w:asciiTheme="minorHAnsi" w:hAnsiTheme="minorHAnsi"/>
          <w:sz w:val="22"/>
          <w:szCs w:val="22"/>
        </w:rPr>
        <w:t>CCF</w:t>
      </w:r>
      <w:r w:rsidRPr="007D6CEA">
        <w:rPr>
          <w:rFonts w:asciiTheme="minorHAnsi" w:hAnsiTheme="minorHAnsi"/>
          <w:bCs/>
          <w:sz w:val="22"/>
          <w:szCs w:val="22"/>
        </w:rPr>
        <w:t xml:space="preserve"> alone will not give an adequate answer (for example, in the absence of information from other NIHR coordinating centres), the Research Information Manager will advise the enquirer accordingly. Under these circumstances the Research Information Manager will invite the</w:t>
      </w:r>
      <w:r w:rsidRPr="007D6CEA">
        <w:rPr>
          <w:rFonts w:asciiTheme="minorHAnsi" w:hAnsiTheme="minorHAnsi"/>
          <w:bCs/>
        </w:rPr>
        <w:t xml:space="preserve"> </w:t>
      </w:r>
      <w:r w:rsidRPr="007D6CEA">
        <w:rPr>
          <w:rFonts w:asciiTheme="minorHAnsi" w:hAnsiTheme="minorHAnsi"/>
          <w:bCs/>
          <w:sz w:val="22"/>
          <w:szCs w:val="22"/>
        </w:rPr>
        <w:t xml:space="preserve">enquirer to resubmit the request to NIHR. </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sz w:val="22"/>
          <w:szCs w:val="22"/>
        </w:rPr>
        <w:t>3.3</w:t>
      </w:r>
      <w:r w:rsidRPr="007D6CEA">
        <w:rPr>
          <w:rFonts w:asciiTheme="minorHAnsi" w:hAnsiTheme="minorHAnsi"/>
          <w:bCs/>
          <w:sz w:val="22"/>
          <w:szCs w:val="22"/>
        </w:rPr>
        <w:t xml:space="preserve"> Any request for information that can be considered as covered by the Act must be referred to the Research Information Manager who will, if necessary, consult with the Section Head and Head of Research Programmes at the DH Research and Development Directorate and/or other individuals in Department of Health or </w:t>
      </w:r>
      <w:r w:rsidR="00B94177" w:rsidRPr="007D6CEA">
        <w:rPr>
          <w:rFonts w:asciiTheme="minorHAnsi" w:hAnsiTheme="minorHAnsi"/>
          <w:sz w:val="22"/>
          <w:szCs w:val="22"/>
        </w:rPr>
        <w:t>CCF</w:t>
      </w:r>
      <w:r w:rsidRPr="007D6CEA">
        <w:rPr>
          <w:rFonts w:asciiTheme="minorHAnsi" w:hAnsiTheme="minorHAnsi"/>
          <w:bCs/>
          <w:sz w:val="22"/>
          <w:szCs w:val="22"/>
        </w:rPr>
        <w:t xml:space="preserve">.  When a request is received the Research Information Manager may, if necessary, ask the holder of the information in </w:t>
      </w:r>
      <w:r w:rsidR="00B94177" w:rsidRPr="007D6CEA">
        <w:rPr>
          <w:rFonts w:asciiTheme="minorHAnsi" w:hAnsiTheme="minorHAnsi"/>
          <w:sz w:val="22"/>
          <w:szCs w:val="22"/>
        </w:rPr>
        <w:t>CCF</w:t>
      </w:r>
      <w:r w:rsidRPr="007D6CEA">
        <w:rPr>
          <w:rFonts w:asciiTheme="minorHAnsi" w:hAnsiTheme="minorHAnsi"/>
          <w:bCs/>
          <w:sz w:val="22"/>
          <w:szCs w:val="22"/>
        </w:rPr>
        <w:t xml:space="preserve"> to give an estimate of the amount of time it will take to assemble the information and/or ask other questions necessary in order to determine whether any exceptions are likely to apply. The Research Information Manager may then consult other </w:t>
      </w:r>
      <w:r w:rsidR="00B94177" w:rsidRPr="007D6CEA">
        <w:rPr>
          <w:rFonts w:asciiTheme="minorHAnsi" w:hAnsiTheme="minorHAnsi"/>
          <w:sz w:val="22"/>
          <w:szCs w:val="22"/>
        </w:rPr>
        <w:t>CCF</w:t>
      </w:r>
      <w:r w:rsidRPr="007D6CEA">
        <w:rPr>
          <w:rFonts w:asciiTheme="minorHAnsi" w:hAnsiTheme="minorHAnsi"/>
          <w:bCs/>
          <w:sz w:val="22"/>
          <w:szCs w:val="22"/>
        </w:rPr>
        <w:t xml:space="preserve"> staff, as appropriate, and finally with the Section Head and Head of Research Programmes at the DH Research and Development Directorate</w:t>
      </w:r>
      <w:r w:rsidRPr="007D6CEA" w:rsidDel="00A32DAF">
        <w:rPr>
          <w:rFonts w:asciiTheme="minorHAnsi" w:hAnsiTheme="minorHAnsi"/>
          <w:bCs/>
          <w:sz w:val="22"/>
          <w:szCs w:val="22"/>
        </w:rPr>
        <w:t xml:space="preserve"> </w:t>
      </w:r>
      <w:r w:rsidRPr="007D6CEA">
        <w:rPr>
          <w:rFonts w:asciiTheme="minorHAnsi" w:hAnsiTheme="minorHAnsi"/>
          <w:bCs/>
          <w:sz w:val="22"/>
          <w:szCs w:val="22"/>
        </w:rPr>
        <w:t xml:space="preserve">to confirm whether an exception can be applied.  </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sz w:val="22"/>
          <w:szCs w:val="22"/>
        </w:rPr>
        <w:t>3.4</w:t>
      </w:r>
      <w:r w:rsidRPr="007D6CEA">
        <w:rPr>
          <w:rFonts w:asciiTheme="minorHAnsi" w:hAnsiTheme="minorHAnsi"/>
          <w:bCs/>
          <w:sz w:val="22"/>
          <w:szCs w:val="22"/>
        </w:rPr>
        <w:t xml:space="preserve"> If exceptions are not applicable the Research Information Manager will ask the most appropriate member of staff in </w:t>
      </w:r>
      <w:r w:rsidR="00B94177" w:rsidRPr="007D6CEA">
        <w:rPr>
          <w:rFonts w:asciiTheme="minorHAnsi" w:hAnsiTheme="minorHAnsi"/>
          <w:sz w:val="22"/>
          <w:szCs w:val="22"/>
        </w:rPr>
        <w:t>CCF</w:t>
      </w:r>
      <w:r w:rsidRPr="007D6CEA">
        <w:rPr>
          <w:rFonts w:asciiTheme="minorHAnsi" w:hAnsiTheme="minorHAnsi"/>
          <w:bCs/>
          <w:sz w:val="22"/>
          <w:szCs w:val="22"/>
        </w:rPr>
        <w:t xml:space="preserve"> to provide the information. If an exception applies the Research Information Manager will advise the enquirer of the reasons why the information cannot be provided. The Research Information Manager will agree the format and content of responses with the Section Head and Head of Research Programmes at the DH Research and Development Directorate</w:t>
      </w:r>
      <w:r w:rsidRPr="007D6CEA" w:rsidDel="00A32DAF">
        <w:rPr>
          <w:rFonts w:asciiTheme="minorHAnsi" w:hAnsiTheme="minorHAnsi"/>
          <w:bCs/>
          <w:sz w:val="22"/>
          <w:szCs w:val="22"/>
        </w:rPr>
        <w:t xml:space="preserve"> </w:t>
      </w:r>
      <w:r w:rsidRPr="007D6CEA">
        <w:rPr>
          <w:rFonts w:asciiTheme="minorHAnsi" w:hAnsiTheme="minorHAnsi"/>
          <w:bCs/>
          <w:sz w:val="22"/>
          <w:szCs w:val="22"/>
        </w:rPr>
        <w:t xml:space="preserve">and any other relevant individual at DH or in </w:t>
      </w:r>
      <w:r w:rsidR="00B94177" w:rsidRPr="007D6CEA">
        <w:rPr>
          <w:rFonts w:asciiTheme="minorHAnsi" w:hAnsiTheme="minorHAnsi"/>
          <w:sz w:val="22"/>
          <w:szCs w:val="22"/>
        </w:rPr>
        <w:t>CCF</w:t>
      </w:r>
      <w:r w:rsidRPr="007D6CEA">
        <w:rPr>
          <w:rFonts w:asciiTheme="minorHAnsi" w:hAnsiTheme="minorHAnsi"/>
          <w:bCs/>
          <w:sz w:val="22"/>
          <w:szCs w:val="22"/>
        </w:rPr>
        <w:t>. The Research Information Manager may respond on behalf of DH. In this instance, any correspondence sent from the Research Information Manager must state clearly that the response is on behalf of DH. If DH responds directly, the Research Information Manager should be copied in on the Department’s response to the enquirer to ensure completeness of record.</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sz w:val="22"/>
          <w:szCs w:val="22"/>
        </w:rPr>
        <w:t>3.5</w:t>
      </w:r>
      <w:r w:rsidRPr="007D6CEA">
        <w:rPr>
          <w:rFonts w:asciiTheme="minorHAnsi" w:hAnsiTheme="minorHAnsi"/>
          <w:bCs/>
          <w:sz w:val="22"/>
          <w:szCs w:val="22"/>
        </w:rPr>
        <w:t xml:space="preserve"> Hard copies of all correspondence must be filed in the LGC yellow file LFX-52-49 “Department of Health Freedom of Information Requests”. Copies of email correspondence should be filed in the CCF “FOI” folder in Outlook.</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sz w:val="22"/>
          <w:szCs w:val="22"/>
        </w:rPr>
        <w:t>3.6</w:t>
      </w:r>
      <w:r w:rsidRPr="007D6CEA">
        <w:rPr>
          <w:rFonts w:asciiTheme="minorHAnsi" w:hAnsiTheme="minorHAnsi"/>
          <w:bCs/>
          <w:sz w:val="22"/>
          <w:szCs w:val="22"/>
        </w:rPr>
        <w:t xml:space="preserve"> Requests for information under FOI Act which are sent by DH do not have the same record-keeping requirements.</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
          <w:bCs/>
          <w:sz w:val="22"/>
          <w:szCs w:val="22"/>
        </w:rPr>
        <w:t>3.7</w:t>
      </w:r>
      <w:r w:rsidRPr="007D6CEA">
        <w:rPr>
          <w:rFonts w:asciiTheme="minorHAnsi" w:hAnsiTheme="minorHAnsi"/>
          <w:bCs/>
          <w:sz w:val="22"/>
          <w:szCs w:val="22"/>
        </w:rPr>
        <w:t xml:space="preserve"> In the absence of the Research Information Manager another member of the Research Information &amp; Communications team or another member of </w:t>
      </w:r>
      <w:r w:rsidR="00B94177" w:rsidRPr="007D6CEA">
        <w:rPr>
          <w:rFonts w:asciiTheme="minorHAnsi" w:hAnsiTheme="minorHAnsi"/>
          <w:bCs/>
          <w:sz w:val="22"/>
          <w:szCs w:val="22"/>
        </w:rPr>
        <w:t>CCF</w:t>
      </w:r>
      <w:r w:rsidRPr="007D6CEA">
        <w:rPr>
          <w:rFonts w:asciiTheme="minorHAnsi" w:hAnsiTheme="minorHAnsi"/>
          <w:bCs/>
          <w:sz w:val="22"/>
          <w:szCs w:val="22"/>
        </w:rPr>
        <w:t xml:space="preserve"> staff will deputise for this role. </w:t>
      </w:r>
    </w:p>
    <w:p w:rsidR="0018495A" w:rsidRPr="007D6CEA" w:rsidRDefault="0018495A" w:rsidP="00BB24D4">
      <w:pPr>
        <w:pStyle w:val="BodyText"/>
        <w:jc w:val="both"/>
        <w:rPr>
          <w:rFonts w:asciiTheme="minorHAnsi" w:hAnsiTheme="minorHAnsi"/>
          <w:bCs/>
          <w:sz w:val="22"/>
          <w:szCs w:val="22"/>
        </w:rPr>
      </w:pPr>
      <w:r w:rsidRPr="007D6CEA">
        <w:rPr>
          <w:rFonts w:asciiTheme="minorHAnsi" w:hAnsiTheme="minorHAnsi"/>
          <w:bCs/>
          <w:sz w:val="22"/>
          <w:szCs w:val="22"/>
        </w:rPr>
        <w:t>Note: Common exemptions</w:t>
      </w:r>
    </w:p>
    <w:p w:rsidR="0018495A" w:rsidRPr="007D6CEA" w:rsidRDefault="0018495A" w:rsidP="00BB24D4">
      <w:pPr>
        <w:pStyle w:val="BodyText"/>
        <w:numPr>
          <w:ilvl w:val="0"/>
          <w:numId w:val="2"/>
        </w:numPr>
        <w:jc w:val="both"/>
        <w:rPr>
          <w:rFonts w:asciiTheme="minorHAnsi" w:hAnsiTheme="minorHAnsi"/>
          <w:sz w:val="22"/>
          <w:szCs w:val="22"/>
        </w:rPr>
      </w:pPr>
      <w:r w:rsidRPr="007D6CEA">
        <w:rPr>
          <w:rFonts w:asciiTheme="minorHAnsi" w:hAnsiTheme="minorHAnsi"/>
          <w:sz w:val="22"/>
          <w:szCs w:val="22"/>
        </w:rPr>
        <w:t>If a request to central government costs more than £600 (staff time is costed at a standard rate of £25 per hour), it can be turned down</w:t>
      </w:r>
    </w:p>
    <w:p w:rsidR="0018495A" w:rsidRPr="007D6CEA" w:rsidRDefault="0018495A" w:rsidP="00BB24D4">
      <w:pPr>
        <w:pStyle w:val="BodyText"/>
        <w:numPr>
          <w:ilvl w:val="0"/>
          <w:numId w:val="2"/>
        </w:numPr>
        <w:jc w:val="both"/>
        <w:rPr>
          <w:rFonts w:asciiTheme="minorHAnsi" w:hAnsiTheme="minorHAnsi"/>
          <w:sz w:val="22"/>
          <w:szCs w:val="22"/>
        </w:rPr>
      </w:pPr>
      <w:r w:rsidRPr="007D6CEA">
        <w:rPr>
          <w:rFonts w:asciiTheme="minorHAnsi" w:hAnsiTheme="minorHAnsi"/>
          <w:sz w:val="22"/>
          <w:szCs w:val="22"/>
        </w:rPr>
        <w:t>Information supplied in confidence e.g. research proposals</w:t>
      </w:r>
    </w:p>
    <w:p w:rsidR="0018495A" w:rsidRPr="007D6CEA" w:rsidRDefault="0018495A" w:rsidP="00BB24D4">
      <w:pPr>
        <w:pStyle w:val="BodyText"/>
        <w:numPr>
          <w:ilvl w:val="0"/>
          <w:numId w:val="2"/>
        </w:numPr>
        <w:jc w:val="both"/>
        <w:rPr>
          <w:rFonts w:asciiTheme="minorHAnsi" w:hAnsiTheme="minorHAnsi"/>
          <w:sz w:val="22"/>
          <w:szCs w:val="22"/>
        </w:rPr>
      </w:pPr>
      <w:r w:rsidRPr="007D6CEA">
        <w:rPr>
          <w:rFonts w:asciiTheme="minorHAnsi" w:hAnsiTheme="minorHAnsi"/>
          <w:sz w:val="22"/>
          <w:szCs w:val="22"/>
        </w:rPr>
        <w:t>Personal information covered by the Data Protection Act.</w:t>
      </w:r>
    </w:p>
    <w:p w:rsidR="0018495A" w:rsidRPr="007D6CEA" w:rsidRDefault="0018495A" w:rsidP="00BB24D4">
      <w:pPr>
        <w:rPr>
          <w:rFonts w:eastAsia="Times New Roman" w:cs="Times New Roman"/>
        </w:rPr>
      </w:pPr>
      <w:r w:rsidRPr="007D6CEA">
        <w:br w:type="page"/>
      </w:r>
    </w:p>
    <w:p w:rsidR="0018495A" w:rsidRPr="003E7D59" w:rsidRDefault="0018495A" w:rsidP="00BB24D4">
      <w:pPr>
        <w:pStyle w:val="BodyText"/>
        <w:jc w:val="both"/>
        <w:rPr>
          <w:rFonts w:asciiTheme="minorHAnsi" w:hAnsiTheme="minorHAnsi"/>
        </w:rPr>
      </w:pPr>
    </w:p>
    <w:p w:rsidR="0018495A" w:rsidRPr="003E7D59" w:rsidRDefault="0018495A" w:rsidP="00BB24D4">
      <w:pPr>
        <w:pStyle w:val="BodyText"/>
        <w:numPr>
          <w:ilvl w:val="0"/>
          <w:numId w:val="1"/>
        </w:numPr>
        <w:rPr>
          <w:rFonts w:asciiTheme="minorHAnsi" w:hAnsiTheme="minorHAnsi"/>
          <w:b/>
          <w:bCs/>
          <w:sz w:val="28"/>
          <w:szCs w:val="28"/>
        </w:rPr>
      </w:pPr>
      <w:r w:rsidRPr="003E7D59">
        <w:rPr>
          <w:rFonts w:asciiTheme="minorHAnsi" w:hAnsiTheme="minorHAnsi"/>
          <w:b/>
          <w:bCs/>
          <w:sz w:val="28"/>
          <w:szCs w:val="28"/>
        </w:rPr>
        <w:t xml:space="preserve"> Procedure flowchart</w:t>
      </w:r>
    </w:p>
    <w:p w:rsidR="0018495A" w:rsidRPr="003E7D59" w:rsidRDefault="0018495A" w:rsidP="00BB24D4">
      <w:pPr>
        <w:pStyle w:val="BodyText"/>
        <w:jc w:val="both"/>
        <w:rPr>
          <w:rFonts w:asciiTheme="minorHAnsi" w:hAnsiTheme="minorHAnsi"/>
        </w:rPr>
      </w:pPr>
    </w:p>
    <w:p w:rsidR="00F12882" w:rsidRPr="003E7D59" w:rsidRDefault="0018495A" w:rsidP="00BB24D4">
      <w:r w:rsidRPr="003E7D59">
        <w:object w:dxaOrig="6685" w:dyaOrig="12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579pt" o:ole="">
            <v:imagedata r:id="rId14" o:title=""/>
          </v:shape>
          <o:OLEObject Type="Embed" ProgID="Visio.Drawing.11" ShapeID="_x0000_i1025" DrawAspect="Content" ObjectID="_1519461404" r:id="rId15"/>
        </w:object>
      </w:r>
    </w:p>
    <w:p w:rsidR="00F12882" w:rsidRPr="003E7D59" w:rsidRDefault="00F12882" w:rsidP="00BB24D4"/>
    <w:p w:rsidR="0018495A" w:rsidRDefault="0018495A" w:rsidP="00BB24D4"/>
    <w:p w:rsidR="00A41BCF" w:rsidRPr="003E7D59" w:rsidRDefault="00A41BCF" w:rsidP="00BB24D4"/>
    <w:p w:rsidR="0018495A" w:rsidRPr="003E7D59" w:rsidRDefault="0018495A" w:rsidP="00BB24D4">
      <w:pPr>
        <w:ind w:left="2127" w:hanging="2127"/>
        <w:rPr>
          <w:b/>
          <w:sz w:val="28"/>
          <w:szCs w:val="28"/>
          <w:u w:val="single"/>
        </w:rPr>
      </w:pPr>
      <w:r w:rsidRPr="003E7D59">
        <w:rPr>
          <w:b/>
          <w:sz w:val="28"/>
          <w:szCs w:val="28"/>
          <w:u w:val="single"/>
        </w:rPr>
        <w:lastRenderedPageBreak/>
        <w:t>Standard Operating Procedure Number 2</w:t>
      </w:r>
    </w:p>
    <w:p w:rsidR="0018495A" w:rsidRPr="003E7D59" w:rsidRDefault="00B94177" w:rsidP="00BB24D4">
      <w:pPr>
        <w:rPr>
          <w:b/>
          <w:sz w:val="28"/>
          <w:szCs w:val="28"/>
        </w:rPr>
      </w:pPr>
      <w:r w:rsidRPr="003E7D59">
        <w:rPr>
          <w:b/>
          <w:sz w:val="28"/>
          <w:szCs w:val="28"/>
        </w:rPr>
        <w:t>Responding to Parliamentary Questions and other information requests from Department of Health</w:t>
      </w:r>
    </w:p>
    <w:p w:rsidR="00B94177" w:rsidRPr="003E7D59" w:rsidRDefault="00B94177" w:rsidP="00BB24D4">
      <w:pPr>
        <w:pStyle w:val="BodyText"/>
        <w:rPr>
          <w:rFonts w:asciiTheme="minorHAnsi" w:hAnsiTheme="minorHAnsi"/>
          <w:b/>
          <w:sz w:val="28"/>
          <w:szCs w:val="28"/>
        </w:rPr>
      </w:pPr>
    </w:p>
    <w:p w:rsidR="00B94177" w:rsidRPr="003E7D59" w:rsidRDefault="00B94177" w:rsidP="00BB24D4">
      <w:pPr>
        <w:pStyle w:val="BodyText"/>
        <w:numPr>
          <w:ilvl w:val="0"/>
          <w:numId w:val="5"/>
        </w:numPr>
        <w:rPr>
          <w:rFonts w:asciiTheme="minorHAnsi" w:hAnsiTheme="minorHAnsi"/>
          <w:b/>
          <w:bCs/>
          <w:sz w:val="28"/>
          <w:szCs w:val="28"/>
        </w:rPr>
      </w:pPr>
      <w:r w:rsidRPr="003E7D59">
        <w:rPr>
          <w:rFonts w:asciiTheme="minorHAnsi" w:hAnsiTheme="minorHAnsi"/>
          <w:b/>
          <w:bCs/>
          <w:sz w:val="28"/>
        </w:rPr>
        <w:t>Background</w:t>
      </w:r>
    </w:p>
    <w:p w:rsidR="00B94177" w:rsidRPr="003E7D59" w:rsidRDefault="00B94177" w:rsidP="00BB24D4">
      <w:pPr>
        <w:jc w:val="both"/>
      </w:pPr>
      <w:r w:rsidRPr="003E7D59">
        <w:t>Parliamentary Questions (PQs) are questions from the Government asked by members of the two Houses of Parliament and can be either written (and so get a written reply) or oral (and answered by a Minister on the floor of the House). The questions fall into one of six categories: oral questions, written questions, named day questions, ordinary written questions, Lords’ questions or Prime Minister’s questions (PMQs).</w:t>
      </w:r>
    </w:p>
    <w:p w:rsidR="00B94177" w:rsidRPr="003E7D59" w:rsidRDefault="00B94177" w:rsidP="00BB24D4">
      <w:pPr>
        <w:jc w:val="both"/>
      </w:pPr>
      <w:r w:rsidRPr="003E7D59">
        <w:t>Private Office cases (POs) are letters from MPs or members of the House of Lords to a Government Minister (and to which a Minister or an Agency Chief Executive replies). Treat official cases (TOs) are letters addressed to Ministers and to which officials reply. Departmental enquiries (DEs) are the e-mail equivalent of TOs.</w:t>
      </w:r>
    </w:p>
    <w:p w:rsidR="00B94177" w:rsidRPr="007D6CEA" w:rsidRDefault="00B94177" w:rsidP="00BB24D4">
      <w:pPr>
        <w:pStyle w:val="BodyText"/>
        <w:spacing w:after="200" w:line="276" w:lineRule="auto"/>
        <w:jc w:val="both"/>
        <w:rPr>
          <w:rFonts w:asciiTheme="minorHAnsi" w:hAnsiTheme="minorHAnsi"/>
          <w:b/>
          <w:bCs/>
          <w:sz w:val="22"/>
          <w:szCs w:val="22"/>
        </w:rPr>
      </w:pPr>
      <w:r w:rsidRPr="007D6CEA">
        <w:rPr>
          <w:rFonts w:asciiTheme="minorHAnsi" w:hAnsiTheme="minorHAnsi"/>
          <w:sz w:val="22"/>
          <w:szCs w:val="22"/>
        </w:rPr>
        <w:t>For Ministers, correspondence is important because:</w:t>
      </w:r>
    </w:p>
    <w:p w:rsidR="00B94177" w:rsidRPr="007D6CEA" w:rsidRDefault="00B94177" w:rsidP="00BB24D4">
      <w:pPr>
        <w:numPr>
          <w:ilvl w:val="1"/>
          <w:numId w:val="5"/>
        </w:numPr>
        <w:spacing w:after="0"/>
        <w:ind w:left="709" w:hanging="425"/>
        <w:jc w:val="both"/>
      </w:pPr>
      <w:r w:rsidRPr="007D6CEA">
        <w:t>It provides an opportunity to explain Government policy;</w:t>
      </w:r>
    </w:p>
    <w:p w:rsidR="00B94177" w:rsidRPr="007D6CEA" w:rsidRDefault="00B94177" w:rsidP="00BB24D4">
      <w:pPr>
        <w:numPr>
          <w:ilvl w:val="1"/>
          <w:numId w:val="5"/>
        </w:numPr>
        <w:spacing w:after="0"/>
        <w:ind w:left="709" w:hanging="425"/>
        <w:jc w:val="both"/>
      </w:pPr>
      <w:r w:rsidRPr="007D6CEA">
        <w:t xml:space="preserve">It is one important way in which, between elections, they can demonstrate their accountability to Parliament and to the electorate; </w:t>
      </w:r>
    </w:p>
    <w:p w:rsidR="00B94177" w:rsidRPr="007D6CEA" w:rsidRDefault="00B94177" w:rsidP="00BB24D4">
      <w:pPr>
        <w:numPr>
          <w:ilvl w:val="1"/>
          <w:numId w:val="5"/>
        </w:numPr>
        <w:spacing w:after="0"/>
        <w:ind w:left="709" w:hanging="425"/>
        <w:jc w:val="both"/>
      </w:pPr>
      <w:r w:rsidRPr="007D6CEA">
        <w:t xml:space="preserve">How they answer letters from their fellow MPs on behalf of their constituents has a major influence on their reputations in Parliament; and </w:t>
      </w:r>
    </w:p>
    <w:p w:rsidR="00B94177" w:rsidRPr="007D6CEA" w:rsidRDefault="00B94177" w:rsidP="00BB24D4">
      <w:pPr>
        <w:numPr>
          <w:ilvl w:val="1"/>
          <w:numId w:val="5"/>
        </w:numPr>
        <w:spacing w:after="0"/>
        <w:ind w:left="709" w:hanging="425"/>
        <w:jc w:val="both"/>
      </w:pPr>
      <w:r w:rsidRPr="007D6CEA">
        <w:t>It is one way in which they can show practically to the voters that they are humane, efficient and successful Ministers.</w:t>
      </w:r>
    </w:p>
    <w:p w:rsidR="00B94177" w:rsidRPr="007D6CEA" w:rsidRDefault="00B94177" w:rsidP="00BB24D4">
      <w:pPr>
        <w:pStyle w:val="BodyText"/>
        <w:spacing w:after="200" w:line="276" w:lineRule="auto"/>
        <w:jc w:val="both"/>
        <w:rPr>
          <w:rFonts w:asciiTheme="minorHAnsi" w:hAnsiTheme="minorHAnsi"/>
          <w:sz w:val="22"/>
          <w:szCs w:val="22"/>
        </w:rPr>
      </w:pPr>
      <w:r w:rsidRPr="003E7D59">
        <w:br/>
      </w:r>
      <w:r w:rsidRPr="007D6CEA">
        <w:rPr>
          <w:rFonts w:asciiTheme="minorHAnsi" w:hAnsiTheme="minorHAnsi"/>
          <w:sz w:val="22"/>
          <w:szCs w:val="22"/>
        </w:rPr>
        <w:t>For Departments and Agencies, correspondence is important because:</w:t>
      </w:r>
    </w:p>
    <w:p w:rsidR="00B94177" w:rsidRPr="007D6CEA" w:rsidRDefault="00B94177" w:rsidP="00BB24D4">
      <w:pPr>
        <w:numPr>
          <w:ilvl w:val="1"/>
          <w:numId w:val="5"/>
        </w:numPr>
        <w:spacing w:after="0"/>
        <w:ind w:left="709" w:hanging="425"/>
        <w:jc w:val="both"/>
      </w:pPr>
      <w:r w:rsidRPr="007D6CEA">
        <w:t xml:space="preserve">It provides an opportunity to explain policy or procedures; </w:t>
      </w:r>
    </w:p>
    <w:p w:rsidR="00B94177" w:rsidRPr="007D6CEA" w:rsidRDefault="00B94177" w:rsidP="00BB24D4">
      <w:pPr>
        <w:numPr>
          <w:ilvl w:val="1"/>
          <w:numId w:val="5"/>
        </w:numPr>
        <w:spacing w:after="0"/>
        <w:ind w:left="709" w:hanging="425"/>
        <w:jc w:val="both"/>
      </w:pPr>
      <w:r w:rsidRPr="007D6CEA">
        <w:t xml:space="preserve">It contributes (for good or ill) to their public image; and </w:t>
      </w:r>
    </w:p>
    <w:p w:rsidR="007D6CEA" w:rsidRDefault="00B94177" w:rsidP="00BB24D4">
      <w:pPr>
        <w:numPr>
          <w:ilvl w:val="1"/>
          <w:numId w:val="5"/>
        </w:numPr>
        <w:spacing w:after="0"/>
        <w:ind w:left="709" w:hanging="425"/>
        <w:jc w:val="both"/>
      </w:pPr>
      <w:r w:rsidRPr="007D6CEA">
        <w:t>It is an important part of their duty to serve the public.</w:t>
      </w:r>
    </w:p>
    <w:p w:rsidR="007D6CEA" w:rsidRPr="007D6CEA" w:rsidRDefault="007D6CEA" w:rsidP="00BB24D4">
      <w:pPr>
        <w:spacing w:after="0"/>
        <w:ind w:left="709"/>
        <w:jc w:val="both"/>
      </w:pPr>
    </w:p>
    <w:p w:rsidR="00B94177" w:rsidRPr="007D6CEA" w:rsidRDefault="00B94177" w:rsidP="00BB24D4">
      <w:pPr>
        <w:jc w:val="both"/>
      </w:pPr>
      <w:r w:rsidRPr="007D6CEA">
        <w:t>Democratically it is important because it is one of the few ways in which, between elections, members of the electorate can call the Government to account. Every Minister's case - however obscure, infuriating, tiresome or unnecessary it may seem - is in itself an important part of democratic accountability, requiring Government to account through Parliament to the people for its decisions and actions.</w:t>
      </w:r>
    </w:p>
    <w:p w:rsidR="00B94177" w:rsidRPr="007D6CEA" w:rsidRDefault="00B94177" w:rsidP="00BB24D4">
      <w:pPr>
        <w:jc w:val="both"/>
      </w:pPr>
      <w:r w:rsidRPr="007D6CEA">
        <w:t>Simple humanity and "customer care" also make correspondence important. Behind each letter is someone who is upset, angry, worried or simply does not understand. DH’s task is to provide a reply which, while it may not provide exactly what they want, will, at the very least, explain why this is not possible and sound respectful, human and sympathetic.</w:t>
      </w:r>
    </w:p>
    <w:p w:rsidR="00B94177" w:rsidRPr="003E7D59" w:rsidRDefault="00B94177" w:rsidP="00BB24D4">
      <w:pPr>
        <w:jc w:val="both"/>
      </w:pPr>
      <w:r w:rsidRPr="003E7D59">
        <w:t xml:space="preserve">Oversight of all POs, TOs and DEs is handled by a Customer Service Centre at DH.  The Centre houses the call centre and correspondence central drafting teams.  The Whitehall Standard time for response is 20 </w:t>
      </w:r>
      <w:r w:rsidRPr="003E7D59">
        <w:lastRenderedPageBreak/>
        <w:t>days. PQs that the Customer Service Centre are unable to deal with using standard lines come to DH RDD Parliamentary, Information and Communications Branch, from where requests to the CCF are made</w:t>
      </w:r>
    </w:p>
    <w:p w:rsidR="00B94177" w:rsidRPr="003E7D59" w:rsidRDefault="00B94177" w:rsidP="00BB24D4">
      <w:pPr>
        <w:jc w:val="both"/>
      </w:pPr>
      <w:r w:rsidRPr="003E7D59">
        <w:t xml:space="preserve">The Department of Health also requests information for other purposes. This is commonly for departmental and ministerial staff briefings and, </w:t>
      </w:r>
      <w:r w:rsidRPr="007D6CEA">
        <w:t xml:space="preserve">for </w:t>
      </w:r>
      <w:r w:rsidR="00D520D6" w:rsidRPr="007D6CEA">
        <w:rPr>
          <w:lang w:val="en-US"/>
        </w:rPr>
        <w:t>CCF</w:t>
      </w:r>
      <w:r w:rsidRPr="003E7D59">
        <w:t xml:space="preserve">, most frequently for the purposes of the Chief Medical Officer (CMO).  </w:t>
      </w:r>
    </w:p>
    <w:p w:rsidR="00B94177" w:rsidRPr="003E7D59" w:rsidRDefault="00B94177" w:rsidP="00BB24D4">
      <w:pPr>
        <w:pStyle w:val="BodyText"/>
        <w:numPr>
          <w:ilvl w:val="0"/>
          <w:numId w:val="5"/>
        </w:numPr>
        <w:rPr>
          <w:rFonts w:asciiTheme="minorHAnsi" w:hAnsiTheme="minorHAnsi"/>
          <w:b/>
          <w:bCs/>
          <w:sz w:val="28"/>
          <w:szCs w:val="28"/>
        </w:rPr>
      </w:pPr>
      <w:r w:rsidRPr="003E7D59">
        <w:rPr>
          <w:rFonts w:asciiTheme="minorHAnsi" w:hAnsiTheme="minorHAnsi"/>
          <w:b/>
          <w:bCs/>
          <w:sz w:val="28"/>
        </w:rPr>
        <w:t>Policy</w:t>
      </w:r>
    </w:p>
    <w:p w:rsidR="00B94177" w:rsidRPr="003E7D59" w:rsidRDefault="00B94177" w:rsidP="00BB24D4">
      <w:pPr>
        <w:jc w:val="both"/>
      </w:pPr>
      <w:r w:rsidRPr="003E7D59">
        <w:t>PQs are always issued with deadlines for response. In some cases, the deadline will be on the same day that the request was made. It is important that the CCF makes every effort to meet the deadline given, and to notify DH immediately if this will not be possible.</w:t>
      </w:r>
    </w:p>
    <w:p w:rsidR="00B94177" w:rsidRPr="003E7D59" w:rsidRDefault="00B94177" w:rsidP="00BB24D4">
      <w:pPr>
        <w:jc w:val="both"/>
      </w:pPr>
      <w:r w:rsidRPr="003E7D59">
        <w:t>The protocol for contributions between policy officials and the Customer Service Centre states that 80% of contributions for PO are to be returned within 2 working days and 95% within 3 working days. 80% of TO correspondence are to be returned within 4 working days and 95% within 5 working days.</w:t>
      </w:r>
    </w:p>
    <w:p w:rsidR="00B94177" w:rsidRPr="003E7D59" w:rsidRDefault="00B94177" w:rsidP="00BB24D4">
      <w:pPr>
        <w:jc w:val="both"/>
      </w:pPr>
      <w:r w:rsidRPr="003E7D59">
        <w:t>Other requests for information will carry individual deadlines. Again, it is important that the CCF makes every effort to meet the deadline given, and to notify DH immediately if this will not be possible.</w:t>
      </w:r>
    </w:p>
    <w:p w:rsidR="00B94177" w:rsidRPr="003E7D59" w:rsidRDefault="00B94177" w:rsidP="00BB24D4">
      <w:pPr>
        <w:pStyle w:val="BodyText"/>
        <w:numPr>
          <w:ilvl w:val="0"/>
          <w:numId w:val="5"/>
        </w:numPr>
        <w:rPr>
          <w:rFonts w:asciiTheme="minorHAnsi" w:hAnsiTheme="minorHAnsi"/>
          <w:b/>
          <w:bCs/>
          <w:sz w:val="28"/>
          <w:szCs w:val="28"/>
        </w:rPr>
      </w:pPr>
      <w:r w:rsidRPr="003E7D59">
        <w:rPr>
          <w:rFonts w:asciiTheme="minorHAnsi" w:hAnsiTheme="minorHAnsi"/>
          <w:b/>
          <w:bCs/>
          <w:sz w:val="28"/>
        </w:rPr>
        <w:t>Procedure</w:t>
      </w:r>
    </w:p>
    <w:p w:rsidR="00B94177" w:rsidRPr="00E54EDF" w:rsidRDefault="00B94177" w:rsidP="00BB24D4">
      <w:pPr>
        <w:numPr>
          <w:ilvl w:val="1"/>
          <w:numId w:val="4"/>
        </w:numPr>
        <w:tabs>
          <w:tab w:val="clear" w:pos="360"/>
          <w:tab w:val="num" w:pos="567"/>
        </w:tabs>
        <w:autoSpaceDE w:val="0"/>
        <w:autoSpaceDN w:val="0"/>
        <w:adjustRightInd w:val="0"/>
        <w:ind w:left="567" w:hanging="567"/>
        <w:jc w:val="both"/>
      </w:pPr>
      <w:r w:rsidRPr="00E54EDF">
        <w:t xml:space="preserve">PQs and other requests for information are sent to CCF, via email, to the Research Information Manager by Jonathan Bickley, Section Head - R&amp;D briefing and Parliamentary business, DH Research and Development Directorate (Jonathan.Bickley@dh.gsi.gov.uk). Other relevant individuals in </w:t>
      </w:r>
      <w:r w:rsidR="00C95D7F" w:rsidRPr="00E54EDF">
        <w:t>CCF</w:t>
      </w:r>
      <w:r w:rsidRPr="00E54EDF">
        <w:t xml:space="preserve"> are copied in as necessary including the Director of CCF, the Deputy Director and the Programme Manager (Operations) and the Assistant Directors of the research programmes. </w:t>
      </w:r>
    </w:p>
    <w:p w:rsidR="00B94177" w:rsidRPr="00E54EDF" w:rsidRDefault="00B94177" w:rsidP="00BB24D4">
      <w:pPr>
        <w:numPr>
          <w:ilvl w:val="1"/>
          <w:numId w:val="4"/>
        </w:numPr>
        <w:tabs>
          <w:tab w:val="clear" w:pos="360"/>
          <w:tab w:val="num" w:pos="567"/>
        </w:tabs>
        <w:autoSpaceDE w:val="0"/>
        <w:autoSpaceDN w:val="0"/>
        <w:adjustRightInd w:val="0"/>
        <w:ind w:left="567" w:hanging="567"/>
        <w:jc w:val="both"/>
      </w:pPr>
      <w:r w:rsidRPr="00E54EDF">
        <w:t xml:space="preserve">The Research Information Manager will check the deadline to reply (date and time). If there is insufficient time to complete the request, the Research Information Manager will inform Mr Bickley and agree a new deadline, or a reduction in scope of the question. If it is not clear what should be included in the request (this is particularly the case when the request is very general), the Research Information Manager will seek clarification from Mr Bickley. </w:t>
      </w:r>
    </w:p>
    <w:p w:rsidR="00B94177" w:rsidRPr="00E54EDF" w:rsidRDefault="00B94177" w:rsidP="00BB24D4">
      <w:pPr>
        <w:numPr>
          <w:ilvl w:val="1"/>
          <w:numId w:val="4"/>
        </w:numPr>
        <w:tabs>
          <w:tab w:val="clear" w:pos="360"/>
          <w:tab w:val="num" w:pos="567"/>
        </w:tabs>
        <w:autoSpaceDE w:val="0"/>
        <w:autoSpaceDN w:val="0"/>
        <w:adjustRightInd w:val="0"/>
        <w:ind w:left="567" w:hanging="567"/>
        <w:jc w:val="both"/>
      </w:pPr>
      <w:r w:rsidRPr="00E54EDF">
        <w:t xml:space="preserve">The Research Information Manager will decide how best to handle the request, in consultation with other </w:t>
      </w:r>
      <w:r w:rsidR="00C95D7F" w:rsidRPr="00E54EDF">
        <w:t>CCF</w:t>
      </w:r>
      <w:r w:rsidRPr="00E54EDF">
        <w:t xml:space="preserve"> staff as necessary, taking into account the complexity of the request, the deadline for the reply and the type of information requested. The Research Information Manager has access to certain information directly and other information will need to be obtained through consultation with </w:t>
      </w:r>
      <w:r w:rsidR="00C95D7F" w:rsidRPr="00E54EDF">
        <w:t>CCF</w:t>
      </w:r>
      <w:r w:rsidRPr="00E54EDF">
        <w:t xml:space="preserve"> staff in the programme teams. </w:t>
      </w:r>
    </w:p>
    <w:p w:rsidR="00B94177" w:rsidRPr="00E54EDF" w:rsidRDefault="00B94177" w:rsidP="00BB24D4">
      <w:pPr>
        <w:numPr>
          <w:ilvl w:val="1"/>
          <w:numId w:val="4"/>
        </w:numPr>
        <w:tabs>
          <w:tab w:val="clear" w:pos="360"/>
          <w:tab w:val="num" w:pos="567"/>
        </w:tabs>
        <w:autoSpaceDE w:val="0"/>
        <w:autoSpaceDN w:val="0"/>
        <w:adjustRightInd w:val="0"/>
        <w:ind w:left="567" w:hanging="567"/>
        <w:jc w:val="both"/>
      </w:pPr>
      <w:r w:rsidRPr="00E54EDF">
        <w:t>The Research Information Manager will prepare a response spreadsheet for providing the PQ response. A blank template is available at:</w:t>
      </w:r>
      <w:r w:rsidR="007D6CEA" w:rsidRPr="00E54EDF">
        <w:t xml:space="preserve"> (</w:t>
      </w:r>
      <w:r w:rsidR="00E54EDF">
        <w:t>e</w:t>
      </w:r>
      <w:r w:rsidR="00223B08" w:rsidRPr="00E54EDF">
        <w:t>lectronic location</w:t>
      </w:r>
      <w:r w:rsidR="007D6CEA" w:rsidRPr="00E54EDF">
        <w:t>)</w:t>
      </w:r>
      <w:r w:rsidRPr="00E54EDF">
        <w:t xml:space="preserve">. A copy of this should be renamed with a brief description of the information required and the month and year of the PQ e.g. PQ dementia Aug 2010.xls. The nature of the information requested is entered into the first worksheet of the workbook. Other worksheets are pre-labelled with individual Programme names. The Research Information Manager will upload the spreadsheet </w:t>
      </w:r>
      <w:r w:rsidR="00E54EDF">
        <w:t>to (</w:t>
      </w:r>
      <w:r w:rsidR="00223B08" w:rsidRPr="00E54EDF">
        <w:t xml:space="preserve">electronic </w:t>
      </w:r>
      <w:r w:rsidR="00E54EDF" w:rsidRPr="00E54EDF">
        <w:t>location)</w:t>
      </w:r>
      <w:r w:rsidRPr="00E54EDF">
        <w:t xml:space="preserve"> completing the details in the online form, as required, including the nature of the request (PQ, other information request etc). </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lastRenderedPageBreak/>
        <w:t xml:space="preserve">The Research Information Manager will contact representatives of the research programmes and other </w:t>
      </w:r>
      <w:r w:rsidR="00D520D6" w:rsidRPr="00E54EDF">
        <w:t>CCF</w:t>
      </w:r>
      <w:r w:rsidRPr="003E7D59">
        <w:t xml:space="preserve"> staff as necessary to obtain the information required. A list of common contacts is provided at:</w:t>
      </w:r>
      <w:r w:rsidR="00E54EDF">
        <w:t xml:space="preserve"> </w:t>
      </w:r>
      <w:r w:rsidR="00E54EDF" w:rsidRPr="00E54EDF">
        <w:t>(e</w:t>
      </w:r>
      <w:r w:rsidR="00223B08" w:rsidRPr="00E54EDF">
        <w:t>lectronic location</w:t>
      </w:r>
      <w:r w:rsidR="00E54EDF">
        <w:t>)</w:t>
      </w:r>
      <w:r w:rsidRPr="003E7D59">
        <w:t xml:space="preserve">. The Research Information Manager will contact programme representatives and </w:t>
      </w:r>
      <w:r w:rsidR="00D520D6" w:rsidRPr="00E54EDF">
        <w:t>CCF</w:t>
      </w:r>
      <w:r w:rsidRPr="003E7D59">
        <w:t xml:space="preserve"> staff via email and will provide a link to the response spreadsheet on the portal in the email. </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t>Where necessary and/or possible the Research Information Manager will provide advice to programme representatives on search terms to be used etc to enable them to answer the PQ. The Research Information Manager may also provide some suggested responses based on searches of locally held funded project spreadsheets or other knowledge and request that programme representatives check and/or add to these responses.</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t xml:space="preserve">The programme representatives will search a range of electronic records including the funded projects on the Research Management Systems database and other spreadsheets, documents and databases. The search should include all electronic information available. The programme representatives consulted should enter the results into the appropriate worksheet on the response spreadsheet, ensuring that the information matches the requirements of the question (e.g. spend by financial year, total spend in a disease area, etc). The contact details of the person compiling the answer should be included. If there are no results, this must be indicated in the relevant worksheet. Once the response spreadsheet has been completed the programme representative should advise the Research Information Manager accordingly. </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t xml:space="preserve">The Research Information Manager sends the results spreadsheet as an email attachment to the person who sent the PQ, usually Mr Bickley. If possible, responses should be sent by close of play (cop) the day before the deadline. The Research Information Manager records the date and time of the response in the </w:t>
      </w:r>
      <w:r w:rsidR="00E54EDF">
        <w:t>(</w:t>
      </w:r>
      <w:r w:rsidR="00E54EDF" w:rsidRPr="00E54EDF">
        <w:t>e</w:t>
      </w:r>
      <w:r w:rsidR="00964BDB" w:rsidRPr="00E54EDF">
        <w:t>lectronic location</w:t>
      </w:r>
      <w:r w:rsidR="00E54EDF">
        <w:t>)</w:t>
      </w:r>
      <w:r w:rsidRPr="003E7D59">
        <w:t xml:space="preserve"> and on the first worksheet of the response spreadsheet.</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t>If the deadline for response is within 8 hours and completing the response spreadsheet and/or consulting with programme representatives will prevent response in this time, then the results can be sent by programme representatives directly to Mr Bickley by email, without using the spreadsheet. In this case the Research Information Manager should be copied in to the email and will complete the response spreadsheet as soon as possible at a later time to ensure completeness of record and send this to Mr Bickley. Alternatively, the Research Information Manager may provide the results to the best of his/her ability without consulting with programme representatives. In this case the Research Information Manager should advise Mr Bickley that the response is as good a quality as can be achieved in the time allowed.</w:t>
      </w:r>
    </w:p>
    <w:p w:rsidR="00B94177" w:rsidRPr="003E7D59" w:rsidRDefault="00B94177" w:rsidP="00BB24D4">
      <w:pPr>
        <w:numPr>
          <w:ilvl w:val="1"/>
          <w:numId w:val="4"/>
        </w:numPr>
        <w:tabs>
          <w:tab w:val="clear" w:pos="360"/>
          <w:tab w:val="num" w:pos="567"/>
        </w:tabs>
        <w:autoSpaceDE w:val="0"/>
        <w:autoSpaceDN w:val="0"/>
        <w:adjustRightInd w:val="0"/>
        <w:ind w:left="567" w:hanging="567"/>
        <w:jc w:val="both"/>
      </w:pPr>
      <w:r w:rsidRPr="003E7D59">
        <w:t xml:space="preserve">A similar protocol will be adopted by the Research Information Manager to respond to other DH requests (e.g. from the CMO’s team) in consultation with the programmes and other </w:t>
      </w:r>
      <w:r w:rsidR="00D520D6" w:rsidRPr="00E54EDF">
        <w:t>CCF</w:t>
      </w:r>
      <w:r w:rsidRPr="003E7D59">
        <w:t xml:space="preserve"> staff as necessary to obtain the information required.</w:t>
      </w:r>
    </w:p>
    <w:p w:rsidR="00B94177" w:rsidRPr="00E54EDF" w:rsidRDefault="00B94177" w:rsidP="00BB24D4">
      <w:pPr>
        <w:numPr>
          <w:ilvl w:val="1"/>
          <w:numId w:val="4"/>
        </w:numPr>
        <w:tabs>
          <w:tab w:val="clear" w:pos="360"/>
          <w:tab w:val="num" w:pos="567"/>
        </w:tabs>
        <w:autoSpaceDE w:val="0"/>
        <w:autoSpaceDN w:val="0"/>
        <w:adjustRightInd w:val="0"/>
        <w:ind w:left="567" w:hanging="567"/>
        <w:jc w:val="both"/>
      </w:pPr>
      <w:r w:rsidRPr="003E7D59">
        <w:t xml:space="preserve">In the absence of the Research Information Manager another member of the Research Information and Communications team or other member of </w:t>
      </w:r>
      <w:r w:rsidR="00C95D7F" w:rsidRPr="00E54EDF">
        <w:t>CCF</w:t>
      </w:r>
      <w:r w:rsidRPr="003E7D59">
        <w:t xml:space="preserve"> staff will deputise for PQ and other requests for information. This is to be arranged in advance for planned absence. In the absence of listed programme representatives from any of the teams the Research Information Manager will identify other individuals in the programmes who can deputise.</w:t>
      </w:r>
    </w:p>
    <w:p w:rsidR="00E510EB" w:rsidRPr="003E7D59" w:rsidRDefault="00E510EB" w:rsidP="00BB24D4">
      <w:pPr>
        <w:rPr>
          <w:sz w:val="28"/>
          <w:szCs w:val="28"/>
        </w:rPr>
      </w:pPr>
    </w:p>
    <w:p w:rsidR="00E510EB" w:rsidRPr="003E7D59" w:rsidRDefault="00E510EB" w:rsidP="00BB24D4">
      <w:pPr>
        <w:ind w:left="2127" w:hanging="2127"/>
        <w:rPr>
          <w:b/>
          <w:sz w:val="28"/>
          <w:szCs w:val="28"/>
          <w:u w:val="single"/>
        </w:rPr>
      </w:pPr>
      <w:r w:rsidRPr="003E7D59">
        <w:rPr>
          <w:b/>
          <w:sz w:val="28"/>
          <w:szCs w:val="28"/>
          <w:u w:val="single"/>
        </w:rPr>
        <w:lastRenderedPageBreak/>
        <w:t>Standard Operating Procedure Number 3</w:t>
      </w:r>
    </w:p>
    <w:p w:rsidR="00B94177" w:rsidRPr="003E7D59" w:rsidRDefault="00E510EB" w:rsidP="00BB24D4">
      <w:pPr>
        <w:rPr>
          <w:b/>
          <w:sz w:val="28"/>
          <w:szCs w:val="28"/>
        </w:rPr>
      </w:pPr>
      <w:r w:rsidRPr="003E7D59">
        <w:rPr>
          <w:b/>
          <w:sz w:val="28"/>
          <w:szCs w:val="28"/>
        </w:rPr>
        <w:t>Programme and Project Electronic Records management</w:t>
      </w:r>
    </w:p>
    <w:p w:rsidR="00FD1471" w:rsidRPr="003E7D59" w:rsidRDefault="00FD1471" w:rsidP="00BB24D4">
      <w:pPr>
        <w:pStyle w:val="BodyText"/>
        <w:spacing w:after="0"/>
        <w:rPr>
          <w:rFonts w:asciiTheme="minorHAnsi" w:hAnsiTheme="minorHAnsi"/>
          <w:b/>
          <w:sz w:val="28"/>
          <w:szCs w:val="28"/>
        </w:rPr>
      </w:pPr>
    </w:p>
    <w:p w:rsidR="00FD1471" w:rsidRPr="00E54EDF" w:rsidRDefault="00FD1471" w:rsidP="00BB24D4">
      <w:pPr>
        <w:pStyle w:val="BodyText"/>
        <w:numPr>
          <w:ilvl w:val="0"/>
          <w:numId w:val="25"/>
        </w:numPr>
        <w:rPr>
          <w:rFonts w:asciiTheme="minorHAnsi" w:hAnsiTheme="minorHAnsi"/>
          <w:b/>
          <w:bCs/>
          <w:sz w:val="28"/>
        </w:rPr>
      </w:pPr>
      <w:r w:rsidRPr="003E7D59">
        <w:rPr>
          <w:rFonts w:asciiTheme="minorHAnsi" w:hAnsiTheme="minorHAnsi"/>
          <w:b/>
          <w:bCs/>
          <w:sz w:val="28"/>
        </w:rPr>
        <w:t>Background</w:t>
      </w:r>
    </w:p>
    <w:p w:rsidR="00FD1471" w:rsidRPr="00E54EDF" w:rsidRDefault="00FD1471" w:rsidP="00BB24D4">
      <w:pPr>
        <w:pStyle w:val="BodyText"/>
        <w:spacing w:after="0"/>
        <w:jc w:val="both"/>
        <w:rPr>
          <w:rFonts w:asciiTheme="minorHAnsi" w:hAnsiTheme="minorHAnsi"/>
          <w:bCs/>
          <w:sz w:val="22"/>
          <w:szCs w:val="22"/>
        </w:rPr>
      </w:pPr>
      <w:r w:rsidRPr="00E54EDF">
        <w:rPr>
          <w:rFonts w:asciiTheme="minorHAnsi" w:hAnsiTheme="minorHAnsi"/>
          <w:bCs/>
          <w:sz w:val="22"/>
          <w:szCs w:val="22"/>
        </w:rPr>
        <w:t xml:space="preserve">Information relevant to Programmes and Projects is stored on the </w:t>
      </w:r>
      <w:r w:rsidR="00E54EDF" w:rsidRPr="00E54EDF">
        <w:rPr>
          <w:sz w:val="22"/>
          <w:szCs w:val="22"/>
        </w:rPr>
        <w:t>e</w:t>
      </w:r>
      <w:r w:rsidR="00964BDB" w:rsidRPr="00E54EDF">
        <w:rPr>
          <w:sz w:val="22"/>
          <w:szCs w:val="22"/>
        </w:rPr>
        <w:t>lectronic location</w:t>
      </w:r>
      <w:r w:rsidR="00964BDB" w:rsidRPr="00E54EDF">
        <w:rPr>
          <w:rFonts w:asciiTheme="minorHAnsi" w:hAnsiTheme="minorHAnsi"/>
          <w:bCs/>
          <w:sz w:val="22"/>
          <w:szCs w:val="22"/>
        </w:rPr>
        <w:t xml:space="preserve"> </w:t>
      </w:r>
      <w:r w:rsidRPr="00E54EDF">
        <w:rPr>
          <w:rFonts w:asciiTheme="minorHAnsi" w:hAnsiTheme="minorHAnsi"/>
          <w:bCs/>
          <w:sz w:val="22"/>
          <w:szCs w:val="22"/>
        </w:rPr>
        <w:t xml:space="preserve">or on </w:t>
      </w:r>
      <w:r w:rsidR="00964BDB" w:rsidRPr="00E54EDF">
        <w:rPr>
          <w:rFonts w:asciiTheme="minorHAnsi" w:hAnsiTheme="minorHAnsi"/>
          <w:bCs/>
          <w:sz w:val="22"/>
          <w:szCs w:val="22"/>
        </w:rPr>
        <w:t>the NIHR Hub</w:t>
      </w:r>
      <w:r w:rsidRPr="00E54EDF">
        <w:rPr>
          <w:rFonts w:asciiTheme="minorHAnsi" w:hAnsiTheme="minorHAnsi"/>
          <w:bCs/>
          <w:sz w:val="22"/>
          <w:szCs w:val="22"/>
        </w:rPr>
        <w:t xml:space="preserve">. All relevant documents must be retained and retrievable by team members. </w:t>
      </w:r>
    </w:p>
    <w:p w:rsidR="00FD1471" w:rsidRPr="00E54EDF" w:rsidRDefault="00FD1471" w:rsidP="00BB24D4">
      <w:pPr>
        <w:pStyle w:val="BodyText"/>
        <w:spacing w:after="0"/>
        <w:rPr>
          <w:rFonts w:asciiTheme="minorHAnsi" w:hAnsiTheme="minorHAnsi"/>
          <w:bCs/>
          <w:sz w:val="22"/>
          <w:szCs w:val="22"/>
        </w:rPr>
      </w:pPr>
    </w:p>
    <w:p w:rsidR="00FD1471" w:rsidRPr="00E54EDF" w:rsidRDefault="00FD1471" w:rsidP="00BB24D4">
      <w:pPr>
        <w:pStyle w:val="BodyText"/>
        <w:numPr>
          <w:ilvl w:val="0"/>
          <w:numId w:val="25"/>
        </w:numPr>
        <w:rPr>
          <w:rFonts w:asciiTheme="minorHAnsi" w:hAnsiTheme="minorHAnsi"/>
          <w:b/>
          <w:bCs/>
          <w:sz w:val="28"/>
        </w:rPr>
      </w:pPr>
      <w:r w:rsidRPr="003E7D59">
        <w:rPr>
          <w:rFonts w:asciiTheme="minorHAnsi" w:hAnsiTheme="minorHAnsi"/>
          <w:b/>
          <w:bCs/>
          <w:sz w:val="28"/>
        </w:rPr>
        <w:t>Policy</w:t>
      </w:r>
    </w:p>
    <w:p w:rsidR="00FD1471" w:rsidRPr="00E54EDF" w:rsidRDefault="00FD1471" w:rsidP="00BB24D4">
      <w:pPr>
        <w:pStyle w:val="BodyText"/>
        <w:spacing w:after="0"/>
        <w:jc w:val="both"/>
        <w:rPr>
          <w:rFonts w:asciiTheme="minorHAnsi" w:hAnsiTheme="minorHAnsi"/>
          <w:bCs/>
          <w:sz w:val="22"/>
          <w:szCs w:val="22"/>
        </w:rPr>
      </w:pPr>
      <w:r w:rsidRPr="00E54EDF">
        <w:rPr>
          <w:rFonts w:asciiTheme="minorHAnsi" w:hAnsiTheme="minorHAnsi"/>
          <w:bCs/>
          <w:sz w:val="22"/>
          <w:szCs w:val="22"/>
        </w:rPr>
        <w:t>The DH is governed by the two Public Records Acts of 1958, amended in 1967 and 2000. These make it a legal requirement to:</w:t>
      </w:r>
    </w:p>
    <w:p w:rsidR="00FD1471" w:rsidRPr="00E54EDF" w:rsidRDefault="00FD1471" w:rsidP="00BB24D4">
      <w:pPr>
        <w:pStyle w:val="BodyText"/>
        <w:numPr>
          <w:ilvl w:val="0"/>
          <w:numId w:val="7"/>
        </w:numPr>
        <w:spacing w:after="0"/>
        <w:jc w:val="both"/>
        <w:rPr>
          <w:rFonts w:asciiTheme="minorHAnsi" w:hAnsiTheme="minorHAnsi"/>
          <w:bCs/>
          <w:sz w:val="22"/>
          <w:szCs w:val="22"/>
        </w:rPr>
      </w:pPr>
      <w:r w:rsidRPr="00E54EDF">
        <w:rPr>
          <w:rFonts w:asciiTheme="minorHAnsi" w:hAnsiTheme="minorHAnsi"/>
          <w:bCs/>
          <w:sz w:val="22"/>
          <w:szCs w:val="22"/>
        </w:rPr>
        <w:t>Identify and destroy any records that are of no further use;</w:t>
      </w:r>
    </w:p>
    <w:p w:rsidR="00FD1471" w:rsidRPr="00E54EDF" w:rsidRDefault="00FD1471" w:rsidP="00BB24D4">
      <w:pPr>
        <w:pStyle w:val="BodyText"/>
        <w:numPr>
          <w:ilvl w:val="0"/>
          <w:numId w:val="7"/>
        </w:numPr>
        <w:spacing w:after="0"/>
        <w:jc w:val="both"/>
        <w:rPr>
          <w:rFonts w:asciiTheme="minorHAnsi" w:hAnsiTheme="minorHAnsi"/>
          <w:bCs/>
          <w:sz w:val="22"/>
          <w:szCs w:val="22"/>
        </w:rPr>
      </w:pPr>
      <w:r w:rsidRPr="00E54EDF">
        <w:rPr>
          <w:rFonts w:asciiTheme="minorHAnsi" w:hAnsiTheme="minorHAnsi"/>
          <w:bCs/>
          <w:sz w:val="22"/>
          <w:szCs w:val="22"/>
        </w:rPr>
        <w:t>Identify and preserve any records that may be historically valuable; and</w:t>
      </w:r>
    </w:p>
    <w:p w:rsidR="00FD1471" w:rsidRPr="00E54EDF" w:rsidRDefault="00FD1471" w:rsidP="00BB24D4">
      <w:pPr>
        <w:pStyle w:val="BodyText"/>
        <w:numPr>
          <w:ilvl w:val="0"/>
          <w:numId w:val="7"/>
        </w:numPr>
        <w:spacing w:after="0"/>
        <w:jc w:val="both"/>
        <w:rPr>
          <w:rFonts w:asciiTheme="minorHAnsi" w:hAnsiTheme="minorHAnsi"/>
          <w:bCs/>
          <w:sz w:val="22"/>
          <w:szCs w:val="22"/>
        </w:rPr>
      </w:pPr>
      <w:r w:rsidRPr="00E54EDF">
        <w:rPr>
          <w:rFonts w:asciiTheme="minorHAnsi" w:hAnsiTheme="minorHAnsi"/>
          <w:bCs/>
          <w:sz w:val="22"/>
          <w:szCs w:val="22"/>
        </w:rPr>
        <w:t>Destroy unwanted records as soon as possible.</w:t>
      </w: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The Act defines all DH records as Public Records.</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All electronic records should be named and organised in a logical fashion, so that records can be easily retrieved by team members.</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964BDB"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As migration of data to the NIHR Hub is in progress, </w:t>
      </w:r>
      <w:r w:rsidR="00FD1471" w:rsidRPr="00953798">
        <w:rPr>
          <w:rFonts w:asciiTheme="minorHAnsi" w:hAnsiTheme="minorHAnsi"/>
          <w:bCs/>
          <w:sz w:val="22"/>
          <w:szCs w:val="22"/>
        </w:rPr>
        <w:t>this document represents an interim position, which will be revised in the near future.</w:t>
      </w:r>
    </w:p>
    <w:p w:rsidR="00FD1471" w:rsidRPr="00953798" w:rsidRDefault="00FD1471" w:rsidP="00BB24D4">
      <w:pPr>
        <w:pStyle w:val="BodyText"/>
        <w:spacing w:after="0"/>
        <w:jc w:val="both"/>
        <w:rPr>
          <w:rFonts w:asciiTheme="minorHAnsi" w:hAnsiTheme="minorHAnsi"/>
          <w:bCs/>
        </w:rPr>
      </w:pPr>
    </w:p>
    <w:p w:rsidR="00FD1471" w:rsidRPr="00953798" w:rsidRDefault="00FD1471" w:rsidP="00BB24D4">
      <w:pPr>
        <w:pStyle w:val="BodyText"/>
        <w:numPr>
          <w:ilvl w:val="0"/>
          <w:numId w:val="25"/>
        </w:numPr>
        <w:rPr>
          <w:rFonts w:asciiTheme="minorHAnsi" w:hAnsiTheme="minorHAnsi"/>
          <w:b/>
          <w:bCs/>
          <w:sz w:val="28"/>
        </w:rPr>
      </w:pPr>
      <w:r w:rsidRPr="00953798">
        <w:rPr>
          <w:rFonts w:asciiTheme="minorHAnsi" w:hAnsiTheme="minorHAnsi"/>
          <w:b/>
          <w:bCs/>
          <w:sz w:val="28"/>
        </w:rPr>
        <w:t>Related Procedures</w:t>
      </w:r>
    </w:p>
    <w:p w:rsidR="00FD1471" w:rsidRPr="00953798" w:rsidRDefault="00FD1471" w:rsidP="00BB24D4">
      <w:pPr>
        <w:pStyle w:val="BodyText"/>
        <w:tabs>
          <w:tab w:val="left" w:pos="3828"/>
        </w:tabs>
        <w:spacing w:after="0"/>
        <w:jc w:val="both"/>
        <w:rPr>
          <w:rFonts w:asciiTheme="minorHAnsi" w:hAnsiTheme="minorHAnsi"/>
          <w:bCs/>
          <w:sz w:val="22"/>
          <w:szCs w:val="22"/>
        </w:rPr>
      </w:pPr>
      <w:r w:rsidRPr="00953798">
        <w:rPr>
          <w:rFonts w:asciiTheme="minorHAnsi" w:hAnsiTheme="minorHAnsi"/>
          <w:bCs/>
          <w:sz w:val="22"/>
          <w:szCs w:val="22"/>
        </w:rPr>
        <w:t xml:space="preserve">This document should be read in conjunction with SOP </w:t>
      </w:r>
      <w:r w:rsidR="00964BDB" w:rsidRPr="00953798">
        <w:rPr>
          <w:rFonts w:asciiTheme="minorHAnsi" w:hAnsiTheme="minorHAnsi"/>
          <w:bCs/>
          <w:sz w:val="22"/>
          <w:szCs w:val="22"/>
        </w:rPr>
        <w:t xml:space="preserve">4 </w:t>
      </w:r>
      <w:r w:rsidRPr="00953798">
        <w:rPr>
          <w:rFonts w:asciiTheme="minorHAnsi" w:hAnsiTheme="minorHAnsi"/>
          <w:bCs/>
          <w:sz w:val="22"/>
          <w:szCs w:val="22"/>
        </w:rPr>
        <w:t>Pink File Management and NIHR Guidance Document “NIHR policy for project/contract-related record retention and destruction” (appended to this document).</w:t>
      </w:r>
    </w:p>
    <w:p w:rsidR="00FD1471" w:rsidRPr="00953798" w:rsidRDefault="00FD1471" w:rsidP="00BB24D4">
      <w:pPr>
        <w:pStyle w:val="BodyText"/>
        <w:spacing w:after="0"/>
        <w:jc w:val="both"/>
        <w:rPr>
          <w:rFonts w:asciiTheme="minorHAnsi" w:hAnsiTheme="minorHAnsi"/>
          <w:bCs/>
        </w:rPr>
      </w:pPr>
    </w:p>
    <w:p w:rsidR="00FD1471" w:rsidRPr="00953798" w:rsidRDefault="00FD1471" w:rsidP="00BB24D4">
      <w:pPr>
        <w:pStyle w:val="BodyText"/>
        <w:numPr>
          <w:ilvl w:val="0"/>
          <w:numId w:val="25"/>
        </w:numPr>
        <w:rPr>
          <w:rFonts w:asciiTheme="minorHAnsi" w:hAnsiTheme="minorHAnsi"/>
          <w:b/>
          <w:bCs/>
          <w:sz w:val="28"/>
        </w:rPr>
      </w:pPr>
      <w:r w:rsidRPr="00953798">
        <w:rPr>
          <w:rFonts w:asciiTheme="minorHAnsi" w:hAnsiTheme="minorHAnsi"/>
          <w:b/>
          <w:bCs/>
          <w:sz w:val="28"/>
        </w:rPr>
        <w:t>Procedure</w:t>
      </w: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4.1 Scope of procedure</w:t>
      </w: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 xml:space="preserve">This document relates to electronic records of </w:t>
      </w:r>
      <w:r w:rsidR="006947CC" w:rsidRPr="00953798">
        <w:rPr>
          <w:rFonts w:asciiTheme="minorHAnsi" w:hAnsiTheme="minorHAnsi"/>
          <w:bCs/>
          <w:sz w:val="22"/>
          <w:szCs w:val="22"/>
        </w:rPr>
        <w:t>CCF</w:t>
      </w:r>
      <w:r w:rsidRPr="00953798">
        <w:rPr>
          <w:rFonts w:asciiTheme="minorHAnsi" w:hAnsiTheme="minorHAnsi"/>
          <w:bCs/>
          <w:sz w:val="22"/>
          <w:szCs w:val="22"/>
        </w:rPr>
        <w:t xml:space="preserve"> programmes which are retained in the medium to long-term (1 year upwards). It does not relate to all records generated by </w:t>
      </w:r>
      <w:r w:rsidR="006947CC" w:rsidRPr="00953798">
        <w:rPr>
          <w:rFonts w:asciiTheme="minorHAnsi" w:hAnsiTheme="minorHAnsi"/>
          <w:bCs/>
          <w:sz w:val="22"/>
          <w:szCs w:val="22"/>
        </w:rPr>
        <w:t>CCF</w:t>
      </w:r>
      <w:r w:rsidRPr="00953798">
        <w:rPr>
          <w:rFonts w:asciiTheme="minorHAnsi" w:hAnsiTheme="minorHAnsi"/>
          <w:bCs/>
          <w:sz w:val="22"/>
          <w:szCs w:val="22"/>
        </w:rPr>
        <w:t xml:space="preserve">. </w:t>
      </w:r>
      <w:r w:rsidR="006947CC" w:rsidRPr="00953798">
        <w:rPr>
          <w:rFonts w:asciiTheme="minorHAnsi" w:hAnsiTheme="minorHAnsi"/>
          <w:bCs/>
          <w:sz w:val="22"/>
          <w:szCs w:val="22"/>
        </w:rPr>
        <w:t>CCF</w:t>
      </w:r>
      <w:r w:rsidRPr="00953798">
        <w:rPr>
          <w:rFonts w:asciiTheme="minorHAnsi" w:hAnsiTheme="minorHAnsi"/>
          <w:bCs/>
          <w:sz w:val="22"/>
          <w:szCs w:val="22"/>
        </w:rPr>
        <w:t xml:space="preserve"> generates records which are paper, electronic or both. There is a requirement to file certain records relating to contracts as paper. These records may also be retained electronically by </w:t>
      </w:r>
      <w:r w:rsidR="006947CC" w:rsidRPr="00953798">
        <w:rPr>
          <w:rFonts w:asciiTheme="minorHAnsi" w:hAnsiTheme="minorHAnsi"/>
          <w:bCs/>
          <w:sz w:val="22"/>
          <w:szCs w:val="22"/>
        </w:rPr>
        <w:t>CCF</w:t>
      </w:r>
      <w:r w:rsidRPr="00953798">
        <w:rPr>
          <w:rFonts w:asciiTheme="minorHAnsi" w:hAnsiTheme="minorHAnsi"/>
          <w:bCs/>
          <w:sz w:val="22"/>
          <w:szCs w:val="22"/>
        </w:rPr>
        <w:t xml:space="preserve"> for ease of access, use, copying and transfer.</w:t>
      </w:r>
    </w:p>
    <w:p w:rsidR="00FD1471" w:rsidRPr="00953798" w:rsidRDefault="00FD1471" w:rsidP="00BB24D4">
      <w:pPr>
        <w:pStyle w:val="BodyText"/>
        <w:spacing w:after="0"/>
        <w:rPr>
          <w:rFonts w:asciiTheme="minorHAnsi" w:hAnsiTheme="minorHAnsi"/>
          <w:bCs/>
          <w:sz w:val="22"/>
          <w:szCs w:val="22"/>
        </w:rPr>
      </w:pP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4.2 General principles</w:t>
      </w:r>
    </w:p>
    <w:p w:rsidR="00964BDB"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 xml:space="preserve">Programmes store records on </w:t>
      </w:r>
      <w:r w:rsidR="00964BDB" w:rsidRPr="00953798">
        <w:rPr>
          <w:sz w:val="22"/>
          <w:szCs w:val="22"/>
        </w:rPr>
        <w:t>Electronic location</w:t>
      </w:r>
      <w:r w:rsidR="00964BDB" w:rsidRPr="00953798">
        <w:rPr>
          <w:rFonts w:asciiTheme="minorHAnsi" w:hAnsiTheme="minorHAnsi"/>
          <w:bCs/>
          <w:sz w:val="22"/>
          <w:szCs w:val="22"/>
        </w:rPr>
        <w:t xml:space="preserve"> . </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 xml:space="preserve">Email correspondence can be stored in Outlook folders during the lifetime of the project as long as any relevant attachments are saved elsewhere. </w:t>
      </w:r>
    </w:p>
    <w:p w:rsidR="00FD1471" w:rsidRPr="00953798" w:rsidRDefault="00FD1471" w:rsidP="00BB24D4">
      <w:pPr>
        <w:numPr>
          <w:ilvl w:val="0"/>
          <w:numId w:val="10"/>
        </w:numPr>
        <w:spacing w:after="0" w:line="240" w:lineRule="auto"/>
        <w:jc w:val="both"/>
      </w:pPr>
      <w:r w:rsidRPr="00953798">
        <w:t xml:space="preserve">Files that are sent to CCF with ambiguous (e.g. without any project identifiers) or inaccurate names should be renamed before saving. </w:t>
      </w:r>
    </w:p>
    <w:p w:rsidR="00FD1471" w:rsidRPr="00953798" w:rsidRDefault="00FD1471" w:rsidP="00BB24D4">
      <w:pPr>
        <w:numPr>
          <w:ilvl w:val="0"/>
          <w:numId w:val="10"/>
        </w:numPr>
        <w:spacing w:after="0" w:line="240" w:lineRule="auto"/>
        <w:jc w:val="both"/>
      </w:pPr>
      <w:r w:rsidRPr="00953798">
        <w:t xml:space="preserve">It is impossible to issue an exhaustive list of documents that must be retained; however there are general principles that can be applied. Documents must be retained where they are part of an audit trail for decisions, where they are part of an audit trail of project progress and/or project finance, where they relate to invitation/appointment of committee/panel members, where they relate to programme strategy and management, or changes in procedure. Retention of other documents may also be necessary and programmes are advised to adopt a conservative but practical approach.   </w:t>
      </w:r>
    </w:p>
    <w:p w:rsidR="00FD1471" w:rsidRPr="00953798" w:rsidRDefault="00FD1471" w:rsidP="00BB24D4">
      <w:pPr>
        <w:jc w:val="both"/>
      </w:pP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lastRenderedPageBreak/>
        <w:t>4.3 Records to retain</w:t>
      </w: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4.3.1 Programme records:</w:t>
      </w:r>
    </w:p>
    <w:p w:rsidR="00FD1471" w:rsidRPr="00953798" w:rsidRDefault="00FD1471" w:rsidP="00BB24D4">
      <w:pPr>
        <w:spacing w:after="0"/>
        <w:jc w:val="both"/>
      </w:pPr>
      <w:r w:rsidRPr="00953798">
        <w:t>The following documents must be retained as electronic records:</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 xml:space="preserve">Tender/Research brief </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Invitation to tender (incl. Call for proposals notices, adverts)</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Evaluation criteria (guidance to applicants, peer review guidance and forms)</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Interview panel/funding committee/commissioning panel notes, approved meeting minutes)</w:t>
      </w:r>
    </w:p>
    <w:p w:rsidR="00FD1471" w:rsidRPr="00953798" w:rsidRDefault="00FD1471" w:rsidP="00BB24D4">
      <w:pPr>
        <w:pStyle w:val="BodyText"/>
        <w:numPr>
          <w:ilvl w:val="0"/>
          <w:numId w:val="10"/>
        </w:numPr>
        <w:spacing w:after="0"/>
        <w:rPr>
          <w:rFonts w:asciiTheme="minorHAnsi" w:hAnsiTheme="minorHAnsi"/>
          <w:bCs/>
          <w:sz w:val="22"/>
          <w:szCs w:val="22"/>
        </w:rPr>
      </w:pPr>
      <w:r w:rsidRPr="00953798">
        <w:rPr>
          <w:rFonts w:asciiTheme="minorHAnsi" w:hAnsiTheme="minorHAnsi"/>
          <w:bCs/>
          <w:sz w:val="22"/>
          <w:szCs w:val="22"/>
        </w:rPr>
        <w:t>Approval of funding (ratification)</w:t>
      </w:r>
    </w:p>
    <w:p w:rsidR="00FD1471" w:rsidRPr="00953798" w:rsidRDefault="00FD1471" w:rsidP="00BB24D4">
      <w:pPr>
        <w:pStyle w:val="BodyText"/>
        <w:spacing w:after="0"/>
        <w:rPr>
          <w:rFonts w:asciiTheme="minorHAnsi" w:hAnsiTheme="minorHAnsi"/>
          <w:bCs/>
          <w:sz w:val="22"/>
          <w:szCs w:val="22"/>
        </w:rPr>
      </w:pP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This list is not exhaustive. Where these documents exist, they must be retained.</w:t>
      </w:r>
    </w:p>
    <w:p w:rsidR="00FD1471" w:rsidRPr="00953798" w:rsidRDefault="00FD1471" w:rsidP="00BB24D4">
      <w:pPr>
        <w:pStyle w:val="BodyText"/>
        <w:spacing w:after="0"/>
        <w:rPr>
          <w:rFonts w:asciiTheme="minorHAnsi" w:hAnsiTheme="minorHAnsi"/>
          <w:b/>
          <w:bCs/>
          <w:sz w:val="22"/>
          <w:szCs w:val="22"/>
        </w:rPr>
      </w:pP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4.3.2 Unsuccessful application records (including incomplete applications)</w:t>
      </w: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These are retained as electronic copies only.</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Statements of interest (registration of intent and prequalifying questionnaires)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The application form, including all annexes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Peer review comments and applicant responses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Outcome (decision) letter</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Any correspondence arising from outcome letter</w:t>
      </w:r>
    </w:p>
    <w:p w:rsidR="00953798" w:rsidRPr="00953798" w:rsidRDefault="00953798" w:rsidP="00BB24D4">
      <w:pPr>
        <w:pStyle w:val="BodyText"/>
        <w:spacing w:after="0"/>
        <w:ind w:left="357"/>
        <w:rPr>
          <w:rFonts w:asciiTheme="minorHAnsi" w:hAnsiTheme="minorHAnsi"/>
          <w:bCs/>
          <w:sz w:val="22"/>
          <w:szCs w:val="22"/>
        </w:rPr>
      </w:pPr>
    </w:p>
    <w:p w:rsidR="00FD1471" w:rsidRPr="00953798" w:rsidRDefault="00FD1471" w:rsidP="00BB24D4">
      <w:pPr>
        <w:jc w:val="both"/>
        <w:rPr>
          <w:bCs/>
        </w:rPr>
      </w:pPr>
      <w:r w:rsidRPr="00953798">
        <w:rPr>
          <w:bCs/>
        </w:rPr>
        <w:t xml:space="preserve">This list is not exhaustive. Where these documents exist, they must be retained. It is important to keep a complete audit trail of the decision-making process. </w:t>
      </w: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4.3.3 Project records</w:t>
      </w: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The following documents must be filed for each project:</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Statements of interest (registration of intent and prequalifying questionnaires)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The application form, including all annexes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Peer review comments and applicant responses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Outcome (decision) letter and any correspondence arising</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Documents detailing pre-contract amendments to work programme</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 xml:space="preserve">The contract </w:t>
      </w:r>
    </w:p>
    <w:p w:rsidR="00FD1471" w:rsidRPr="00953798" w:rsidRDefault="00FD1471" w:rsidP="00BB24D4">
      <w:pPr>
        <w:pStyle w:val="BodyText"/>
        <w:numPr>
          <w:ilvl w:val="0"/>
          <w:numId w:val="6"/>
        </w:numPr>
        <w:spacing w:after="0"/>
        <w:rPr>
          <w:rFonts w:asciiTheme="minorHAnsi" w:hAnsiTheme="minorHAnsi"/>
          <w:bCs/>
          <w:sz w:val="22"/>
          <w:szCs w:val="22"/>
        </w:rPr>
      </w:pPr>
      <w:r w:rsidRPr="00953798">
        <w:rPr>
          <w:rFonts w:asciiTheme="minorHAnsi" w:hAnsiTheme="minorHAnsi"/>
          <w:bCs/>
          <w:sz w:val="22"/>
          <w:szCs w:val="22"/>
        </w:rPr>
        <w:t xml:space="preserve">Correspondence relating to any requests for variation of the contract or payment schedule. Documents must show the complete process as well as the final decision (approved/rejected) </w:t>
      </w:r>
    </w:p>
    <w:p w:rsidR="00FD1471" w:rsidRPr="00953798" w:rsidRDefault="00FD1471" w:rsidP="00BB24D4">
      <w:pPr>
        <w:pStyle w:val="BodyText"/>
        <w:numPr>
          <w:ilvl w:val="0"/>
          <w:numId w:val="6"/>
        </w:numPr>
        <w:spacing w:after="0"/>
        <w:rPr>
          <w:rFonts w:asciiTheme="minorHAnsi" w:hAnsiTheme="minorHAnsi"/>
          <w:bCs/>
          <w:sz w:val="22"/>
          <w:szCs w:val="22"/>
        </w:rPr>
      </w:pPr>
      <w:r w:rsidRPr="00953798">
        <w:rPr>
          <w:rFonts w:asciiTheme="minorHAnsi" w:hAnsiTheme="minorHAnsi"/>
          <w:bCs/>
          <w:sz w:val="22"/>
          <w:szCs w:val="22"/>
        </w:rPr>
        <w:t xml:space="preserve">All executed variations to the contract or payment schedule  </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The start certificate (RfPB and PRP)</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Any correspondence relating to project progress and finance</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Annual and final statements of expenditure</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Interim reports, final reports and any other reports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Peer review (for final reports)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Publications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Notes of project review meetings or site visits</w:t>
      </w:r>
    </w:p>
    <w:p w:rsidR="00FD1471" w:rsidRPr="00953798" w:rsidRDefault="00FD1471" w:rsidP="00BB24D4">
      <w:pPr>
        <w:pStyle w:val="BodyText"/>
        <w:spacing w:after="0"/>
        <w:rPr>
          <w:rFonts w:asciiTheme="minorHAnsi" w:hAnsiTheme="minorHAnsi"/>
          <w:bCs/>
          <w:sz w:val="22"/>
          <w:szCs w:val="22"/>
        </w:rPr>
      </w:pPr>
    </w:p>
    <w:p w:rsidR="00FD1471" w:rsidRPr="00953798" w:rsidRDefault="00FD1471" w:rsidP="00BB24D4">
      <w:pPr>
        <w:jc w:val="both"/>
        <w:rPr>
          <w:bCs/>
        </w:rPr>
      </w:pPr>
      <w:r w:rsidRPr="00953798">
        <w:rPr>
          <w:bCs/>
        </w:rPr>
        <w:t>This list is not exhaustive. Where these documents exist, they must be retained. It is important to keep a complete audit trail of the decision-making process for funding, the agreement of the work programme and other contract details, project approvals, project finances, project progress and project outputs, and any other important project events.</w:t>
      </w: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 xml:space="preserve">Please note that some documents are also filed in paper copy in pink files. </w:t>
      </w:r>
      <w:r w:rsidR="00D520D6" w:rsidRPr="00953798">
        <w:rPr>
          <w:rFonts w:asciiTheme="minorHAnsi" w:hAnsiTheme="minorHAnsi"/>
          <w:sz w:val="22"/>
          <w:szCs w:val="22"/>
          <w:lang w:val="en-US"/>
        </w:rPr>
        <w:t>CCF</w:t>
      </w:r>
      <w:r w:rsidRPr="00953798">
        <w:rPr>
          <w:rFonts w:asciiTheme="minorHAnsi" w:hAnsiTheme="minorHAnsi"/>
          <w:bCs/>
          <w:sz w:val="22"/>
          <w:szCs w:val="22"/>
        </w:rPr>
        <w:t xml:space="preserve"> staff may retain electronic versions of these documents for ease of transfer/copying, etc. </w:t>
      </w:r>
    </w:p>
    <w:p w:rsidR="00FD1471" w:rsidRPr="00953798" w:rsidRDefault="00FD1471" w:rsidP="00BB24D4">
      <w:pPr>
        <w:pStyle w:val="BodyText"/>
        <w:spacing w:after="0"/>
        <w:rPr>
          <w:rFonts w:asciiTheme="minorHAnsi" w:hAnsiTheme="minorHAnsi"/>
          <w:bCs/>
          <w:sz w:val="22"/>
          <w:szCs w:val="22"/>
        </w:rPr>
      </w:pPr>
    </w:p>
    <w:p w:rsidR="00FD1471" w:rsidRPr="00953798" w:rsidRDefault="00FD1471" w:rsidP="00BB24D4">
      <w:pPr>
        <w:pStyle w:val="BodyText"/>
        <w:spacing w:after="0"/>
        <w:rPr>
          <w:rFonts w:asciiTheme="minorHAnsi" w:hAnsiTheme="minorHAnsi"/>
          <w:b/>
          <w:bCs/>
        </w:rPr>
      </w:pPr>
      <w:r w:rsidRPr="00953798">
        <w:rPr>
          <w:rFonts w:asciiTheme="minorHAnsi" w:hAnsiTheme="minorHAnsi"/>
          <w:b/>
          <w:bCs/>
        </w:rPr>
        <w:t>4.3.4 Applications/Projects which are withdrawn or terminated</w:t>
      </w:r>
    </w:p>
    <w:p w:rsidR="00FD1471" w:rsidRPr="00953798" w:rsidRDefault="00FD1471" w:rsidP="00BB24D4">
      <w:pPr>
        <w:jc w:val="both"/>
        <w:rPr>
          <w:bCs/>
        </w:rPr>
      </w:pPr>
      <w:r w:rsidRPr="00953798">
        <w:rPr>
          <w:bCs/>
        </w:rPr>
        <w:t>If an application is withdrawn at any stage up to opening a pink file, the records should be retained as if they belong to an unsuccessful application.</w:t>
      </w:r>
    </w:p>
    <w:p w:rsidR="00FD1471" w:rsidRPr="00953798" w:rsidRDefault="00FD1471" w:rsidP="00BB24D4">
      <w:pPr>
        <w:jc w:val="both"/>
        <w:rPr>
          <w:bCs/>
        </w:rPr>
      </w:pPr>
    </w:p>
    <w:p w:rsidR="00FD1471" w:rsidRPr="00953798" w:rsidRDefault="00FD1471" w:rsidP="00BB24D4">
      <w:pPr>
        <w:jc w:val="both"/>
        <w:rPr>
          <w:bCs/>
        </w:rPr>
      </w:pPr>
      <w:r w:rsidRPr="00953798">
        <w:rPr>
          <w:bCs/>
        </w:rPr>
        <w:t xml:space="preserve">If an application is withdrawn after opening a pink file, or if it is terminated once it has started, the records should be retained as if they belonged to a closed project. </w:t>
      </w:r>
    </w:p>
    <w:p w:rsidR="00FD1471" w:rsidRPr="00953798" w:rsidRDefault="00FD1471" w:rsidP="00BB24D4">
      <w:pPr>
        <w:jc w:val="both"/>
        <w:rPr>
          <w:b/>
        </w:rPr>
      </w:pPr>
      <w:r w:rsidRPr="00953798">
        <w:rPr>
          <w:b/>
        </w:rPr>
        <w:t>4.4 Storage media</w:t>
      </w:r>
    </w:p>
    <w:p w:rsidR="00FD1471" w:rsidRPr="00953798" w:rsidRDefault="00FD1471" w:rsidP="00BB24D4">
      <w:pPr>
        <w:jc w:val="both"/>
        <w:rPr>
          <w:b/>
        </w:rPr>
      </w:pPr>
      <w:r w:rsidRPr="00953798">
        <w:rPr>
          <w:b/>
        </w:rPr>
        <w:t xml:space="preserve">4.4.1 Storing records </w:t>
      </w:r>
      <w:r w:rsidR="00964BDB" w:rsidRPr="00953798">
        <w:rPr>
          <w:b/>
        </w:rPr>
        <w:t xml:space="preserve">in </w:t>
      </w:r>
      <w:r w:rsidR="00953798" w:rsidRPr="00953798">
        <w:rPr>
          <w:b/>
        </w:rPr>
        <w:t>(</w:t>
      </w:r>
      <w:r w:rsidR="00953798" w:rsidRPr="00953798">
        <w:t>e</w:t>
      </w:r>
      <w:r w:rsidR="00964BDB" w:rsidRPr="00953798">
        <w:t>lectronic location</w:t>
      </w:r>
      <w:r w:rsidR="00953798" w:rsidRPr="00953798">
        <w:t>)</w:t>
      </w: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Each Programme must organise its records in a logical way so that records can be retrieved by team members. Project records must be retained in an overarching project folder, named with the full application number or a local reference number.</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Within the project folder, the following sub-folders are suggested as relevant: </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Contract and variations</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Application</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Reports</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Correspondence</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Publications</w:t>
      </w:r>
    </w:p>
    <w:p w:rsidR="00FD1471" w:rsidRPr="00953798" w:rsidRDefault="00FD1471" w:rsidP="00BB24D4">
      <w:pPr>
        <w:pStyle w:val="BodyText"/>
        <w:numPr>
          <w:ilvl w:val="0"/>
          <w:numId w:val="8"/>
        </w:numPr>
        <w:spacing w:after="0"/>
        <w:jc w:val="both"/>
        <w:rPr>
          <w:rFonts w:asciiTheme="minorHAnsi" w:hAnsiTheme="minorHAnsi"/>
          <w:bCs/>
          <w:sz w:val="22"/>
          <w:szCs w:val="22"/>
        </w:rPr>
      </w:pPr>
      <w:r w:rsidRPr="00953798">
        <w:rPr>
          <w:rFonts w:asciiTheme="minorHAnsi" w:hAnsiTheme="minorHAnsi"/>
          <w:bCs/>
          <w:sz w:val="22"/>
          <w:szCs w:val="22"/>
        </w:rPr>
        <w:t>Finances</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FD1471" w:rsidP="00BB24D4">
      <w:pPr>
        <w:jc w:val="both"/>
      </w:pPr>
      <w:r w:rsidRPr="00953798">
        <w:t xml:space="preserve">Other sub-folders can be created (e.g. meetings) if appropriate for the project. Ensure that sub-folder names are specific and descriptive. Do not file under ‘miscellaneous’ or ‘other’. For clarity, sub-sub-folders can be created. </w:t>
      </w:r>
    </w:p>
    <w:p w:rsidR="00FD1471" w:rsidRPr="00953798" w:rsidRDefault="00964BDB" w:rsidP="00BB24D4">
      <w:pPr>
        <w:jc w:val="both"/>
        <w:rPr>
          <w:b/>
        </w:rPr>
      </w:pPr>
      <w:r w:rsidRPr="00953798">
        <w:rPr>
          <w:b/>
        </w:rPr>
        <w:t>4.4.2</w:t>
      </w:r>
      <w:r w:rsidR="00FD1471" w:rsidRPr="00953798">
        <w:rPr>
          <w:b/>
        </w:rPr>
        <w:t xml:space="preserve"> Storing records in Microsoft Outlook </w:t>
      </w: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Storage of email records raises particular issues.  These include:</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Subject headings not relating to content of email</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Attachments not stored elsewhere</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Sent mail items not moved to folders</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Instability of mailboxes with large amounts of stored data</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Retention of mail items which contain trivial or out-of-date information</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Retention of emails which contain chains of email, rendering previously sent emails redundant</w:t>
      </w:r>
    </w:p>
    <w:p w:rsidR="00FD1471" w:rsidRPr="00953798" w:rsidRDefault="00FD1471" w:rsidP="00BB24D4">
      <w:pPr>
        <w:pStyle w:val="BodyText"/>
        <w:numPr>
          <w:ilvl w:val="0"/>
          <w:numId w:val="6"/>
        </w:numPr>
        <w:spacing w:after="0"/>
        <w:ind w:left="714" w:hanging="357"/>
        <w:rPr>
          <w:rFonts w:asciiTheme="minorHAnsi" w:hAnsiTheme="minorHAnsi"/>
          <w:bCs/>
          <w:sz w:val="22"/>
          <w:szCs w:val="22"/>
        </w:rPr>
      </w:pPr>
      <w:r w:rsidRPr="00953798">
        <w:rPr>
          <w:rFonts w:asciiTheme="minorHAnsi" w:hAnsiTheme="minorHAnsi"/>
          <w:bCs/>
          <w:sz w:val="22"/>
          <w:szCs w:val="22"/>
        </w:rPr>
        <w:t>Emails stored in personal folders, rather than Programme folders, leading to incomplete records</w:t>
      </w:r>
    </w:p>
    <w:p w:rsidR="00FD1471" w:rsidRPr="00953798" w:rsidRDefault="00FD1471" w:rsidP="00BB24D4">
      <w:pPr>
        <w:pStyle w:val="BodyText"/>
        <w:spacing w:after="0"/>
        <w:rPr>
          <w:rFonts w:asciiTheme="minorHAnsi" w:hAnsiTheme="minorHAnsi"/>
          <w:bCs/>
          <w:sz w:val="22"/>
          <w:szCs w:val="22"/>
        </w:rPr>
      </w:pP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For these reasons, storage of large amounts of information in Outlook folders is not desirable and staff should take time to review folder contents regularly to ensure mailboxes do not become unmanageably large.</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FD1471"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Emails should be retained as long-term records if they contain important contractual (for projects) or procedural (for the Programme) details. </w:t>
      </w:r>
    </w:p>
    <w:p w:rsidR="00FD1471" w:rsidRPr="00953798" w:rsidRDefault="00FD1471" w:rsidP="00BB24D4">
      <w:pPr>
        <w:pStyle w:val="BodyText"/>
        <w:spacing w:after="0"/>
        <w:jc w:val="both"/>
        <w:rPr>
          <w:rFonts w:asciiTheme="minorHAnsi" w:hAnsiTheme="minorHAnsi"/>
          <w:bCs/>
        </w:rPr>
      </w:pPr>
    </w:p>
    <w:p w:rsidR="00FD1471" w:rsidRPr="00953798" w:rsidRDefault="00FD1471" w:rsidP="00BB24D4">
      <w:pPr>
        <w:pStyle w:val="BodyText"/>
        <w:spacing w:after="0"/>
        <w:rPr>
          <w:rFonts w:asciiTheme="minorHAnsi" w:hAnsiTheme="minorHAnsi"/>
          <w:bCs/>
          <w:sz w:val="22"/>
          <w:szCs w:val="22"/>
        </w:rPr>
      </w:pPr>
      <w:r w:rsidRPr="00953798">
        <w:rPr>
          <w:rFonts w:asciiTheme="minorHAnsi" w:hAnsiTheme="minorHAnsi"/>
          <w:bCs/>
          <w:sz w:val="22"/>
          <w:szCs w:val="22"/>
        </w:rPr>
        <w:t>Where one record relates to more than one project (e.g. an email from a Panel Member with information/comments on more than application) this should be saved as separate copies for each project.</w:t>
      </w:r>
    </w:p>
    <w:p w:rsidR="00FD1471" w:rsidRPr="00953798" w:rsidRDefault="00FD1471" w:rsidP="00BB24D4">
      <w:pPr>
        <w:pStyle w:val="BodyText"/>
        <w:spacing w:after="0"/>
        <w:jc w:val="both"/>
        <w:rPr>
          <w:rFonts w:asciiTheme="minorHAnsi" w:hAnsiTheme="minorHAnsi"/>
          <w:bCs/>
          <w:sz w:val="22"/>
          <w:szCs w:val="22"/>
        </w:rPr>
      </w:pPr>
    </w:p>
    <w:p w:rsidR="00FD1471" w:rsidRPr="00953798" w:rsidRDefault="00FD1471" w:rsidP="00BB24D4">
      <w:pPr>
        <w:jc w:val="both"/>
        <w:rPr>
          <w:bCs/>
        </w:rPr>
      </w:pPr>
      <w:r w:rsidRPr="00953798">
        <w:rPr>
          <w:bCs/>
        </w:rPr>
        <w:t>Some emails should be retained as short-term records while they remain relevant. For example, emails relating to organisation (housekeeping, catering, etc) of a meeting should be retained until the business of the meeting is finished, at which point they should be deleted.</w:t>
      </w:r>
    </w:p>
    <w:p w:rsidR="00FD1471" w:rsidRPr="00953798" w:rsidRDefault="00FD1471" w:rsidP="00BB24D4">
      <w:pPr>
        <w:jc w:val="both"/>
        <w:rPr>
          <w:b/>
          <w:bCs/>
        </w:rPr>
      </w:pPr>
    </w:p>
    <w:p w:rsidR="00FD1471" w:rsidRPr="00953798" w:rsidRDefault="00FD1471" w:rsidP="00BB24D4">
      <w:pPr>
        <w:jc w:val="both"/>
        <w:rPr>
          <w:b/>
          <w:bCs/>
        </w:rPr>
      </w:pPr>
      <w:r w:rsidRPr="00953798">
        <w:rPr>
          <w:b/>
          <w:bCs/>
        </w:rPr>
        <w:lastRenderedPageBreak/>
        <w:t>4.5 Archiving electronic records:</w:t>
      </w:r>
    </w:p>
    <w:p w:rsidR="00FD1471" w:rsidRPr="00953798" w:rsidRDefault="00FD1471" w:rsidP="00BB24D4">
      <w:pPr>
        <w:jc w:val="both"/>
        <w:rPr>
          <w:bCs/>
        </w:rPr>
      </w:pPr>
      <w:r w:rsidRPr="00953798">
        <w:rPr>
          <w:bCs/>
        </w:rPr>
        <w:t>Due to space constraints, records from closed projects (final report received, final payment made) can be archived. Portal records are not archived, as there is no space constraint.</w:t>
      </w:r>
    </w:p>
    <w:p w:rsidR="00FD1471" w:rsidRPr="00953798" w:rsidRDefault="00FD1471" w:rsidP="00BB24D4">
      <w:pPr>
        <w:jc w:val="both"/>
        <w:rPr>
          <w:bCs/>
        </w:rPr>
      </w:pPr>
      <w:r w:rsidRPr="00953798">
        <w:rPr>
          <w:bCs/>
        </w:rPr>
        <w:t xml:space="preserve">If a pink file is archived by sending back to DH, then the corresponding electronic records must be archived at the same time (see </w:t>
      </w:r>
      <w:r w:rsidRPr="00953798">
        <w:t xml:space="preserve">SOP </w:t>
      </w:r>
      <w:r w:rsidR="00964BDB" w:rsidRPr="00953798">
        <w:t xml:space="preserve"> 4 </w:t>
      </w:r>
      <w:r w:rsidRPr="00953798">
        <w:t>Pink file management)</w:t>
      </w:r>
      <w:r w:rsidRPr="00953798">
        <w:rPr>
          <w:bCs/>
        </w:rPr>
        <w:t>. The electronic records should not overlap with paper records, therefore not all records need copying. Files must be transferred as</w:t>
      </w:r>
      <w:r w:rsidR="00964BDB" w:rsidRPr="00953798">
        <w:rPr>
          <w:bCs/>
        </w:rPr>
        <w:t xml:space="preserve"> directed by the customer.</w:t>
      </w:r>
      <w:r w:rsidRPr="00953798">
        <w:rPr>
          <w:bCs/>
        </w:rPr>
        <w:t xml:space="preserve"> </w:t>
      </w:r>
    </w:p>
    <w:p w:rsidR="00FD1471" w:rsidRPr="00953798" w:rsidRDefault="00FD1471" w:rsidP="00BB24D4">
      <w:pPr>
        <w:jc w:val="both"/>
        <w:rPr>
          <w:b/>
          <w:bCs/>
        </w:rPr>
      </w:pPr>
      <w:r w:rsidRPr="00953798">
        <w:rPr>
          <w:b/>
          <w:bCs/>
        </w:rPr>
        <w:t>4.6 Deletion of electronic records:</w:t>
      </w:r>
    </w:p>
    <w:p w:rsidR="00FD1471" w:rsidRPr="00953798" w:rsidRDefault="00FD1471" w:rsidP="00BB24D4">
      <w:r w:rsidRPr="00953798">
        <w:rPr>
          <w:bCs/>
        </w:rPr>
        <w:t xml:space="preserve">Electronic records can be deleted locally when they have passed the retention period. </w:t>
      </w:r>
      <w:r w:rsidRPr="00953798">
        <w:t>However, before destroying any of the records covered by this document, Programme teams must do the following for each record:</w:t>
      </w:r>
    </w:p>
    <w:p w:rsidR="00FD1471" w:rsidRPr="00953798" w:rsidRDefault="00FD1471" w:rsidP="00BB24D4">
      <w:pPr>
        <w:numPr>
          <w:ilvl w:val="0"/>
          <w:numId w:val="9"/>
        </w:numPr>
        <w:spacing w:after="0" w:line="240" w:lineRule="auto"/>
      </w:pPr>
      <w:r w:rsidRPr="00953798">
        <w:rPr>
          <w:color w:val="000000"/>
        </w:rPr>
        <w:t>Undertake a risk analysis surrounding local destruction that has been approved by the relevant commissioning centre.</w:t>
      </w:r>
    </w:p>
    <w:p w:rsidR="00FD1471" w:rsidRPr="00953798" w:rsidRDefault="00FD1471" w:rsidP="00BB24D4">
      <w:pPr>
        <w:numPr>
          <w:ilvl w:val="0"/>
          <w:numId w:val="9"/>
        </w:numPr>
        <w:spacing w:after="0" w:line="240" w:lineRule="auto"/>
      </w:pPr>
      <w:r w:rsidRPr="00953798">
        <w:rPr>
          <w:color w:val="000000"/>
        </w:rPr>
        <w:t>Create an index / spreadsheet of any records destroyed locally, so that should a question be asked relating to these work areas, an audit trail for their destruction can be supplied.</w:t>
      </w:r>
    </w:p>
    <w:p w:rsidR="00FD1471" w:rsidRPr="00E54EDF" w:rsidRDefault="00FD1471" w:rsidP="00BB24D4">
      <w:pPr>
        <w:numPr>
          <w:ilvl w:val="0"/>
          <w:numId w:val="9"/>
        </w:numPr>
        <w:spacing w:after="0" w:line="240" w:lineRule="auto"/>
      </w:pPr>
      <w:r w:rsidRPr="00953798">
        <w:rPr>
          <w:color w:val="000000"/>
        </w:rPr>
        <w:t>Send a copy of index / spreadsheet to Kathy Mann</w:t>
      </w:r>
      <w:r w:rsidRPr="00E54EDF">
        <w:rPr>
          <w:color w:val="000000"/>
        </w:rPr>
        <w:t xml:space="preserve"> at DH when records have been destroyed. .</w:t>
      </w:r>
    </w:p>
    <w:p w:rsidR="00FD1471" w:rsidRPr="00E54EDF" w:rsidRDefault="00FD1471" w:rsidP="00BB24D4">
      <w:pPr>
        <w:pStyle w:val="BodyText"/>
        <w:spacing w:after="0"/>
        <w:rPr>
          <w:rFonts w:asciiTheme="minorHAnsi" w:hAnsiTheme="minorHAnsi"/>
          <w:sz w:val="22"/>
          <w:szCs w:val="22"/>
        </w:rPr>
        <w:sectPr w:rsidR="00FD1471" w:rsidRPr="00E54EDF" w:rsidSect="00D520D6">
          <w:headerReference w:type="default" r:id="rId16"/>
          <w:footerReference w:type="default" r:id="rId17"/>
          <w:pgSz w:w="11906" w:h="16838" w:code="9"/>
          <w:pgMar w:top="1134" w:right="1134" w:bottom="1134" w:left="1418" w:header="510" w:footer="510" w:gutter="0"/>
          <w:cols w:space="720"/>
        </w:sectPr>
      </w:pPr>
    </w:p>
    <w:p w:rsidR="00FD1471" w:rsidRPr="003E7D59" w:rsidRDefault="00FD1471" w:rsidP="00BB24D4">
      <w:pPr>
        <w:jc w:val="center"/>
        <w:rPr>
          <w:b/>
          <w:bCs/>
        </w:rPr>
      </w:pPr>
    </w:p>
    <w:p w:rsidR="00FD1471" w:rsidRPr="003E7D59" w:rsidRDefault="00FD1471" w:rsidP="00BB24D4">
      <w:pPr>
        <w:jc w:val="center"/>
        <w:rPr>
          <w:b/>
          <w:bCs/>
        </w:rPr>
      </w:pPr>
      <w:r w:rsidRPr="003E7D59">
        <w:rPr>
          <w:b/>
          <w:bCs/>
        </w:rPr>
        <w:t>NIHR policy for project/contract-related record retention and destruction</w:t>
      </w:r>
    </w:p>
    <w:p w:rsidR="00FD1471" w:rsidRPr="003E7D59" w:rsidRDefault="00FD1471" w:rsidP="00BB24D4">
      <w:r w:rsidRPr="003E7D59">
        <w:t xml:space="preserve">Please note that </w:t>
      </w:r>
      <w:r w:rsidRPr="003E7D59">
        <w:rPr>
          <w:u w:val="single"/>
        </w:rPr>
        <w:t>minimum</w:t>
      </w:r>
      <w:r w:rsidRPr="003E7D59">
        <w:t xml:space="preserve"> retention times are quoted here.  Please keep files for longer if required.</w:t>
      </w:r>
    </w:p>
    <w:p w:rsidR="00FD1471" w:rsidRPr="003E7D59" w:rsidRDefault="00FD1471" w:rsidP="00BB24D4">
      <w:r w:rsidRPr="003E7D59">
        <w:t>The list of project records items is a guide only and is not exhaustive. Some programmes may lack particular records or use additional records; please apply the 1 year for unfunded and 25 years for funded principle.</w:t>
      </w:r>
    </w:p>
    <w:p w:rsidR="00FD1471" w:rsidRPr="00223B08" w:rsidRDefault="00FD1471" w:rsidP="00BB24D4">
      <w:pPr>
        <w:rPr>
          <w:u w:val="single"/>
        </w:rPr>
      </w:pPr>
      <w:r w:rsidRPr="003E7D59">
        <w:rPr>
          <w:u w:val="single"/>
        </w:rPr>
        <w:t xml:space="preserve">Definition: </w:t>
      </w:r>
      <w:r w:rsidRPr="003E7D59">
        <w:t>End of contract = date when final payment made</w:t>
      </w:r>
    </w:p>
    <w:tbl>
      <w:tblPr>
        <w:tblW w:w="1442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320"/>
        <w:gridCol w:w="1212"/>
        <w:gridCol w:w="1920"/>
        <w:gridCol w:w="3120"/>
        <w:gridCol w:w="2412"/>
        <w:gridCol w:w="2400"/>
      </w:tblGrid>
      <w:tr w:rsidR="00FD1471" w:rsidRPr="003E7D59" w:rsidTr="00D520D6">
        <w:trPr>
          <w:cantSplit/>
        </w:trPr>
        <w:tc>
          <w:tcPr>
            <w:tcW w:w="14424" w:type="dxa"/>
            <w:gridSpan w:val="7"/>
          </w:tcPr>
          <w:p w:rsidR="00FD1471" w:rsidRPr="003E7D59" w:rsidRDefault="00FD1471" w:rsidP="00BB24D4">
            <w:pPr>
              <w:pStyle w:val="Heading1"/>
              <w:rPr>
                <w:rFonts w:asciiTheme="minorHAnsi" w:hAnsiTheme="minorHAnsi"/>
              </w:rPr>
            </w:pPr>
            <w:r w:rsidRPr="003E7D59">
              <w:rPr>
                <w:rFonts w:asciiTheme="minorHAnsi" w:hAnsiTheme="minorHAnsi"/>
                <w:sz w:val="22"/>
                <w:szCs w:val="22"/>
              </w:rPr>
              <w:t>Records relating to multiple projects</w:t>
            </w:r>
          </w:p>
        </w:tc>
      </w:tr>
      <w:tr w:rsidR="00FD1471" w:rsidRPr="003E7D59" w:rsidTr="00D520D6">
        <w:tc>
          <w:tcPr>
            <w:tcW w:w="2040" w:type="dxa"/>
          </w:tcPr>
          <w:p w:rsidR="00FD1471" w:rsidRPr="003E7D59" w:rsidRDefault="00FD1471" w:rsidP="00BB24D4">
            <w:pPr>
              <w:rPr>
                <w:b/>
                <w:bCs/>
              </w:rPr>
            </w:pPr>
            <w:r w:rsidRPr="003E7D59">
              <w:rPr>
                <w:b/>
                <w:bCs/>
              </w:rPr>
              <w:t>Item</w:t>
            </w:r>
          </w:p>
        </w:tc>
        <w:tc>
          <w:tcPr>
            <w:tcW w:w="1320" w:type="dxa"/>
          </w:tcPr>
          <w:p w:rsidR="00FD1471" w:rsidRPr="003E7D59" w:rsidRDefault="00FD1471" w:rsidP="00BB24D4">
            <w:pPr>
              <w:rPr>
                <w:b/>
                <w:bCs/>
              </w:rPr>
            </w:pPr>
            <w:r w:rsidRPr="003E7D59">
              <w:rPr>
                <w:b/>
                <w:bCs/>
              </w:rPr>
              <w:t>Retention policy</w:t>
            </w:r>
          </w:p>
        </w:tc>
        <w:tc>
          <w:tcPr>
            <w:tcW w:w="1212" w:type="dxa"/>
          </w:tcPr>
          <w:p w:rsidR="00FD1471" w:rsidRPr="003E7D59" w:rsidRDefault="00FD1471" w:rsidP="00BB24D4">
            <w:pPr>
              <w:rPr>
                <w:b/>
                <w:bCs/>
              </w:rPr>
            </w:pPr>
            <w:r w:rsidRPr="003E7D59">
              <w:rPr>
                <w:b/>
                <w:bCs/>
              </w:rPr>
              <w:t>Medium</w:t>
            </w:r>
          </w:p>
        </w:tc>
        <w:tc>
          <w:tcPr>
            <w:tcW w:w="1920" w:type="dxa"/>
          </w:tcPr>
          <w:p w:rsidR="00FD1471" w:rsidRPr="003E7D59" w:rsidRDefault="00FD1471" w:rsidP="00BB24D4">
            <w:pPr>
              <w:rPr>
                <w:b/>
                <w:bCs/>
              </w:rPr>
            </w:pPr>
            <w:r w:rsidRPr="003E7D59">
              <w:rPr>
                <w:b/>
                <w:bCs/>
              </w:rPr>
              <w:t>Registry number</w:t>
            </w:r>
          </w:p>
        </w:tc>
        <w:tc>
          <w:tcPr>
            <w:tcW w:w="3120" w:type="dxa"/>
          </w:tcPr>
          <w:p w:rsidR="00FD1471" w:rsidRPr="003E7D59" w:rsidRDefault="00FD1471" w:rsidP="00BB24D4">
            <w:pPr>
              <w:rPr>
                <w:b/>
                <w:bCs/>
              </w:rPr>
            </w:pPr>
            <w:r w:rsidRPr="003E7D59">
              <w:rPr>
                <w:b/>
                <w:bCs/>
              </w:rPr>
              <w:t>Archive procedure</w:t>
            </w:r>
          </w:p>
        </w:tc>
        <w:tc>
          <w:tcPr>
            <w:tcW w:w="2412" w:type="dxa"/>
          </w:tcPr>
          <w:p w:rsidR="00FD1471" w:rsidRPr="003E7D59" w:rsidRDefault="00FD1471" w:rsidP="00BB24D4">
            <w:pPr>
              <w:rPr>
                <w:b/>
                <w:bCs/>
              </w:rPr>
            </w:pPr>
            <w:r w:rsidRPr="003E7D59">
              <w:rPr>
                <w:b/>
                <w:bCs/>
              </w:rPr>
              <w:t>Destruction procedure</w:t>
            </w:r>
          </w:p>
        </w:tc>
        <w:tc>
          <w:tcPr>
            <w:tcW w:w="2400" w:type="dxa"/>
          </w:tcPr>
          <w:p w:rsidR="00FD1471" w:rsidRPr="003E7D59" w:rsidRDefault="00FD1471" w:rsidP="00BB24D4">
            <w:pPr>
              <w:rPr>
                <w:b/>
                <w:bCs/>
              </w:rPr>
            </w:pPr>
            <w:r w:rsidRPr="003E7D59">
              <w:rPr>
                <w:b/>
                <w:bCs/>
              </w:rPr>
              <w:t>Notes</w:t>
            </w:r>
          </w:p>
        </w:tc>
      </w:tr>
      <w:tr w:rsidR="00FD1471" w:rsidRPr="003E7D59" w:rsidTr="00D520D6">
        <w:tc>
          <w:tcPr>
            <w:tcW w:w="2040" w:type="dxa"/>
          </w:tcPr>
          <w:p w:rsidR="00FD1471" w:rsidRPr="003E7D59" w:rsidRDefault="00FD1471" w:rsidP="00BB24D4">
            <w:r w:rsidRPr="003E7D59">
              <w:t xml:space="preserve">Tender brief </w:t>
            </w:r>
          </w:p>
          <w:p w:rsidR="00FD1471" w:rsidRPr="003E7D59" w:rsidRDefault="00FD1471" w:rsidP="00BB24D4"/>
        </w:tc>
        <w:tc>
          <w:tcPr>
            <w:tcW w:w="1320" w:type="dxa"/>
          </w:tcPr>
          <w:p w:rsidR="00FD1471" w:rsidRPr="003E7D59" w:rsidRDefault="00FD1471" w:rsidP="00BB24D4">
            <w:r w:rsidRPr="003E7D59">
              <w:t>Keep until 25 years after end of last project.</w:t>
            </w:r>
          </w:p>
        </w:tc>
        <w:tc>
          <w:tcPr>
            <w:tcW w:w="1212" w:type="dxa"/>
            <w:vMerge w:val="restart"/>
          </w:tcPr>
          <w:p w:rsidR="00FD1471" w:rsidRPr="003E7D59" w:rsidRDefault="00FD1471" w:rsidP="00BB24D4">
            <w:r w:rsidRPr="003E7D59">
              <w:t>Electronic</w:t>
            </w:r>
          </w:p>
        </w:tc>
        <w:tc>
          <w:tcPr>
            <w:tcW w:w="1920" w:type="dxa"/>
            <w:vMerge w:val="restart"/>
          </w:tcPr>
          <w:p w:rsidR="00FD1471" w:rsidRPr="003E7D59" w:rsidRDefault="00FD1471" w:rsidP="00BB24D4">
            <w:r w:rsidRPr="003E7D59">
              <w:t xml:space="preserve">Not needed, but must be linkable to relevant records. </w:t>
            </w:r>
          </w:p>
        </w:tc>
        <w:tc>
          <w:tcPr>
            <w:tcW w:w="3120" w:type="dxa"/>
            <w:vMerge w:val="restart"/>
          </w:tcPr>
          <w:p w:rsidR="00FD1471" w:rsidRPr="003E7D59" w:rsidRDefault="00FD1471" w:rsidP="00BB24D4">
            <w:r w:rsidRPr="003E7D59">
              <w:t xml:space="preserve">1 year after call, copy relevant records to </w:t>
            </w:r>
            <w:smartTag w:uri="urn:schemas-microsoft-com:office:smarttags" w:element="stockticker">
              <w:r w:rsidRPr="003E7D59">
                <w:t>DVD</w:t>
              </w:r>
            </w:smartTag>
            <w:r w:rsidRPr="003E7D59">
              <w:t>. Mark with review date that is 25 years + length of average project in the document properties or meta data field (CCF). Portal documents do not require archiving as there is no space constraint.</w:t>
            </w:r>
          </w:p>
        </w:tc>
        <w:tc>
          <w:tcPr>
            <w:tcW w:w="2412" w:type="dxa"/>
            <w:vMerge w:val="restart"/>
          </w:tcPr>
          <w:p w:rsidR="00FD1471" w:rsidRPr="003E7D59" w:rsidRDefault="00FD1471" w:rsidP="00BB24D4">
            <w:r w:rsidRPr="003E7D59">
              <w:t xml:space="preserve">At review date, check status of relevant projects. If all projects </w:t>
            </w:r>
            <w:r w:rsidRPr="003E7D59">
              <w:rPr>
                <w:u w:val="single"/>
              </w:rPr>
              <w:t>&gt;</w:t>
            </w:r>
            <w:r w:rsidRPr="003E7D59">
              <w:t xml:space="preserve"> 25 years post-completion, destroy; otherwise mark with new review date.</w:t>
            </w:r>
          </w:p>
        </w:tc>
        <w:tc>
          <w:tcPr>
            <w:tcW w:w="2400" w:type="dxa"/>
            <w:vMerge w:val="restart"/>
          </w:tcPr>
          <w:p w:rsidR="00FD1471" w:rsidRPr="003E7D59" w:rsidRDefault="00FD1471" w:rsidP="00BB24D4">
            <w:pPr>
              <w:spacing w:line="360" w:lineRule="auto"/>
              <w:rPr>
                <w:b/>
                <w:bCs/>
                <w:u w:val="single"/>
              </w:rPr>
            </w:pPr>
            <w:r w:rsidRPr="003E7D59">
              <w:rPr>
                <w:b/>
                <w:bCs/>
                <w:u w:val="single"/>
              </w:rPr>
              <w:t xml:space="preserve">N.B. </w:t>
            </w:r>
          </w:p>
          <w:p w:rsidR="00FD1471" w:rsidRPr="003E7D59" w:rsidRDefault="00FD1471" w:rsidP="00BB24D4">
            <w:r w:rsidRPr="003E7D59">
              <w:t xml:space="preserve">You do not necessarily need to send these files to DRO (via DH) for destruction.  </w:t>
            </w:r>
          </w:p>
          <w:p w:rsidR="00FD1471" w:rsidRPr="003E7D59" w:rsidRDefault="00FD1471" w:rsidP="00BB24D4">
            <w:r w:rsidRPr="003E7D59">
              <w:t>* See footnote 1 for further details.</w:t>
            </w:r>
          </w:p>
          <w:p w:rsidR="00FD1471" w:rsidRPr="003E7D59" w:rsidRDefault="00FD1471" w:rsidP="00BB24D4"/>
          <w:p w:rsidR="00FD1471" w:rsidRPr="003E7D59" w:rsidRDefault="00FD1471" w:rsidP="00BB24D4"/>
          <w:p w:rsidR="00FD1471" w:rsidRPr="003E7D59" w:rsidRDefault="00FD1471" w:rsidP="00BB24D4"/>
        </w:tc>
      </w:tr>
      <w:tr w:rsidR="00FD1471" w:rsidRPr="003E7D59" w:rsidTr="00D520D6">
        <w:tc>
          <w:tcPr>
            <w:tcW w:w="2040" w:type="dxa"/>
          </w:tcPr>
          <w:p w:rsidR="00FD1471" w:rsidRPr="003E7D59" w:rsidRDefault="00FD1471" w:rsidP="00BB24D4">
            <w:r w:rsidRPr="003E7D59">
              <w:t>Invitation to tender (incl. Call for proposals notices)</w:t>
            </w:r>
          </w:p>
        </w:tc>
        <w:tc>
          <w:tcPr>
            <w:tcW w:w="1320" w:type="dxa"/>
          </w:tcPr>
          <w:p w:rsidR="00FD1471" w:rsidRPr="003E7D59" w:rsidRDefault="00FD1471" w:rsidP="00BB24D4">
            <w:r w:rsidRPr="003E7D59">
              <w:t>Keep until 25 years after end of last project.</w:t>
            </w:r>
          </w:p>
        </w:tc>
        <w:tc>
          <w:tcPr>
            <w:tcW w:w="1212" w:type="dxa"/>
            <w:vMerge/>
          </w:tcPr>
          <w:p w:rsidR="00FD1471" w:rsidRPr="003E7D59" w:rsidRDefault="00FD1471" w:rsidP="00BB24D4"/>
        </w:tc>
        <w:tc>
          <w:tcPr>
            <w:tcW w:w="1920" w:type="dxa"/>
            <w:vMerge/>
          </w:tcPr>
          <w:p w:rsidR="00FD1471" w:rsidRPr="003E7D59" w:rsidRDefault="00FD1471" w:rsidP="00BB24D4"/>
        </w:tc>
        <w:tc>
          <w:tcPr>
            <w:tcW w:w="3120" w:type="dxa"/>
            <w:vMerge/>
          </w:tcPr>
          <w:p w:rsidR="00FD1471" w:rsidRPr="003E7D59" w:rsidRDefault="00FD1471" w:rsidP="00BB24D4"/>
        </w:tc>
        <w:tc>
          <w:tcPr>
            <w:tcW w:w="2412" w:type="dxa"/>
            <w:vMerge/>
          </w:tcPr>
          <w:p w:rsidR="00FD1471" w:rsidRPr="003E7D59" w:rsidRDefault="00FD1471" w:rsidP="00BB24D4"/>
        </w:tc>
        <w:tc>
          <w:tcPr>
            <w:tcW w:w="2400" w:type="dxa"/>
            <w:vMerge/>
          </w:tcPr>
          <w:p w:rsidR="00FD1471" w:rsidRPr="003E7D59" w:rsidRDefault="00FD1471" w:rsidP="00BB24D4"/>
        </w:tc>
      </w:tr>
      <w:tr w:rsidR="00FD1471" w:rsidRPr="003E7D59" w:rsidTr="00D520D6">
        <w:tc>
          <w:tcPr>
            <w:tcW w:w="2040" w:type="dxa"/>
          </w:tcPr>
          <w:p w:rsidR="00FD1471" w:rsidRPr="003E7D59" w:rsidRDefault="00FD1471" w:rsidP="00BB24D4">
            <w:r w:rsidRPr="003E7D59">
              <w:t>Evaluation criteria (guidance to applicants, peer review guidance and forms)</w:t>
            </w:r>
          </w:p>
        </w:tc>
        <w:tc>
          <w:tcPr>
            <w:tcW w:w="1320" w:type="dxa"/>
          </w:tcPr>
          <w:p w:rsidR="00FD1471" w:rsidRPr="003E7D59" w:rsidRDefault="00FD1471" w:rsidP="00BB24D4">
            <w:r w:rsidRPr="003E7D59">
              <w:t>Keep until 25 years after end of last project.</w:t>
            </w:r>
          </w:p>
        </w:tc>
        <w:tc>
          <w:tcPr>
            <w:tcW w:w="1212" w:type="dxa"/>
            <w:vMerge/>
          </w:tcPr>
          <w:p w:rsidR="00FD1471" w:rsidRPr="003E7D59" w:rsidRDefault="00FD1471" w:rsidP="00BB24D4"/>
        </w:tc>
        <w:tc>
          <w:tcPr>
            <w:tcW w:w="1920" w:type="dxa"/>
            <w:vMerge/>
          </w:tcPr>
          <w:p w:rsidR="00FD1471" w:rsidRPr="003E7D59" w:rsidRDefault="00FD1471" w:rsidP="00BB24D4"/>
        </w:tc>
        <w:tc>
          <w:tcPr>
            <w:tcW w:w="3120" w:type="dxa"/>
            <w:vMerge/>
          </w:tcPr>
          <w:p w:rsidR="00FD1471" w:rsidRPr="003E7D59" w:rsidRDefault="00FD1471" w:rsidP="00BB24D4"/>
        </w:tc>
        <w:tc>
          <w:tcPr>
            <w:tcW w:w="2412" w:type="dxa"/>
            <w:vMerge/>
          </w:tcPr>
          <w:p w:rsidR="00FD1471" w:rsidRPr="003E7D59" w:rsidRDefault="00FD1471" w:rsidP="00BB24D4"/>
        </w:tc>
        <w:tc>
          <w:tcPr>
            <w:tcW w:w="2400" w:type="dxa"/>
            <w:vMerge/>
          </w:tcPr>
          <w:p w:rsidR="00FD1471" w:rsidRPr="003E7D59" w:rsidRDefault="00FD1471" w:rsidP="00BB24D4"/>
        </w:tc>
      </w:tr>
      <w:tr w:rsidR="00223B08" w:rsidRPr="003E7D59" w:rsidTr="00223B08">
        <w:tc>
          <w:tcPr>
            <w:tcW w:w="2040" w:type="dxa"/>
          </w:tcPr>
          <w:p w:rsidR="00223B08" w:rsidRPr="003E7D59" w:rsidRDefault="00223B08" w:rsidP="00BB24D4">
            <w:pPr>
              <w:rPr>
                <w:b/>
                <w:bCs/>
              </w:rPr>
            </w:pPr>
            <w:r w:rsidRPr="003E7D59">
              <w:rPr>
                <w:b/>
                <w:bCs/>
              </w:rPr>
              <w:lastRenderedPageBreak/>
              <w:t>Item</w:t>
            </w:r>
          </w:p>
        </w:tc>
        <w:tc>
          <w:tcPr>
            <w:tcW w:w="1320" w:type="dxa"/>
          </w:tcPr>
          <w:p w:rsidR="00223B08" w:rsidRPr="003E7D59" w:rsidRDefault="00223B08" w:rsidP="00BB24D4">
            <w:pPr>
              <w:rPr>
                <w:b/>
                <w:bCs/>
              </w:rPr>
            </w:pPr>
            <w:r w:rsidRPr="003E7D59">
              <w:rPr>
                <w:b/>
                <w:bCs/>
              </w:rPr>
              <w:t>Retention policy</w:t>
            </w:r>
          </w:p>
        </w:tc>
        <w:tc>
          <w:tcPr>
            <w:tcW w:w="1212" w:type="dxa"/>
          </w:tcPr>
          <w:p w:rsidR="00223B08" w:rsidRPr="003E7D59" w:rsidRDefault="00223B08" w:rsidP="00BB24D4">
            <w:pPr>
              <w:rPr>
                <w:b/>
                <w:bCs/>
              </w:rPr>
            </w:pPr>
            <w:r w:rsidRPr="003E7D59">
              <w:rPr>
                <w:b/>
                <w:bCs/>
              </w:rPr>
              <w:t>Medium</w:t>
            </w:r>
          </w:p>
        </w:tc>
        <w:tc>
          <w:tcPr>
            <w:tcW w:w="1920" w:type="dxa"/>
          </w:tcPr>
          <w:p w:rsidR="00223B08" w:rsidRPr="003E7D59" w:rsidRDefault="00223B08" w:rsidP="00BB24D4">
            <w:pPr>
              <w:rPr>
                <w:b/>
                <w:bCs/>
              </w:rPr>
            </w:pPr>
            <w:r w:rsidRPr="003E7D59">
              <w:rPr>
                <w:b/>
                <w:bCs/>
              </w:rPr>
              <w:t>Registry number</w:t>
            </w:r>
          </w:p>
        </w:tc>
        <w:tc>
          <w:tcPr>
            <w:tcW w:w="3120" w:type="dxa"/>
          </w:tcPr>
          <w:p w:rsidR="00223B08" w:rsidRPr="003E7D59" w:rsidRDefault="00223B08" w:rsidP="00BB24D4">
            <w:pPr>
              <w:rPr>
                <w:b/>
                <w:bCs/>
              </w:rPr>
            </w:pPr>
            <w:r w:rsidRPr="003E7D59">
              <w:rPr>
                <w:b/>
                <w:bCs/>
              </w:rPr>
              <w:t>Archive procedure</w:t>
            </w:r>
          </w:p>
        </w:tc>
        <w:tc>
          <w:tcPr>
            <w:tcW w:w="2412" w:type="dxa"/>
          </w:tcPr>
          <w:p w:rsidR="00223B08" w:rsidRPr="003E7D59" w:rsidRDefault="00223B08" w:rsidP="00BB24D4">
            <w:pPr>
              <w:rPr>
                <w:b/>
                <w:bCs/>
              </w:rPr>
            </w:pPr>
            <w:r w:rsidRPr="003E7D59">
              <w:rPr>
                <w:b/>
                <w:bCs/>
              </w:rPr>
              <w:t>Destruction procedure</w:t>
            </w:r>
          </w:p>
        </w:tc>
        <w:tc>
          <w:tcPr>
            <w:tcW w:w="2400" w:type="dxa"/>
          </w:tcPr>
          <w:p w:rsidR="00223B08" w:rsidRPr="003E7D59" w:rsidRDefault="00223B08" w:rsidP="00BB24D4">
            <w:pPr>
              <w:rPr>
                <w:b/>
                <w:bCs/>
              </w:rPr>
            </w:pPr>
            <w:r w:rsidRPr="003E7D59">
              <w:rPr>
                <w:b/>
                <w:bCs/>
              </w:rPr>
              <w:t>Notes</w:t>
            </w:r>
          </w:p>
        </w:tc>
      </w:tr>
      <w:tr w:rsidR="00FD1471" w:rsidRPr="003E7D59" w:rsidTr="00D520D6">
        <w:tc>
          <w:tcPr>
            <w:tcW w:w="2040" w:type="dxa"/>
          </w:tcPr>
          <w:p w:rsidR="00FD1471" w:rsidRPr="003E7D59" w:rsidRDefault="00FD1471" w:rsidP="00BB24D4">
            <w:r w:rsidRPr="003E7D59">
              <w:t>Interview panel/funding committee (interview notes, meeting minutes)</w:t>
            </w:r>
          </w:p>
        </w:tc>
        <w:tc>
          <w:tcPr>
            <w:tcW w:w="1320" w:type="dxa"/>
          </w:tcPr>
          <w:p w:rsidR="00FD1471" w:rsidRPr="003E7D59" w:rsidRDefault="00FD1471" w:rsidP="00BB24D4">
            <w:r w:rsidRPr="003E7D59">
              <w:t xml:space="preserve">Keep until 1 year from end of last contract. </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 xml:space="preserve">Not needed, but must be linkable to relevant records. </w:t>
            </w:r>
          </w:p>
        </w:tc>
        <w:tc>
          <w:tcPr>
            <w:tcW w:w="3120" w:type="dxa"/>
          </w:tcPr>
          <w:p w:rsidR="00FD1471" w:rsidRPr="003E7D59" w:rsidRDefault="00FD1471" w:rsidP="00BB24D4">
            <w:r w:rsidRPr="003E7D59">
              <w:t xml:space="preserve">1 year after call, copy relevant records to </w:t>
            </w:r>
            <w:smartTag w:uri="urn:schemas-microsoft-com:office:smarttags" w:element="stockticker">
              <w:r w:rsidRPr="003E7D59">
                <w:t>DVD</w:t>
              </w:r>
            </w:smartTag>
            <w:r w:rsidRPr="003E7D59">
              <w:t>. Mark with review date that is 1 year + average length of project in the document properties or meta data field (CCF). Portal documents do not require archiving as there is no space contstraint.</w:t>
            </w:r>
          </w:p>
        </w:tc>
        <w:tc>
          <w:tcPr>
            <w:tcW w:w="2412" w:type="dxa"/>
          </w:tcPr>
          <w:p w:rsidR="00FD1471" w:rsidRPr="003E7D59" w:rsidRDefault="00FD1471" w:rsidP="00BB24D4">
            <w:r w:rsidRPr="003E7D59">
              <w:t xml:space="preserve">At review date, check status of relevant projects. If all projects </w:t>
            </w:r>
            <w:r w:rsidRPr="003E7D59">
              <w:rPr>
                <w:u w:val="single"/>
              </w:rPr>
              <w:t>&gt;</w:t>
            </w:r>
            <w:r w:rsidRPr="003E7D59">
              <w:t xml:space="preserve"> 1 year post-completion, destroy; otherwise mark with new review date.</w:t>
            </w:r>
          </w:p>
        </w:tc>
        <w:tc>
          <w:tcPr>
            <w:tcW w:w="2400" w:type="dxa"/>
          </w:tcPr>
          <w:p w:rsidR="00FD1471" w:rsidRPr="003E7D59" w:rsidRDefault="00FD1471" w:rsidP="00BB24D4">
            <w:r w:rsidRPr="003E7D59">
              <w:t>* See footnote 1 for details.</w:t>
            </w:r>
          </w:p>
          <w:p w:rsidR="00FD1471" w:rsidRPr="003E7D59" w:rsidRDefault="00FD1471" w:rsidP="00BB24D4"/>
        </w:tc>
      </w:tr>
      <w:tr w:rsidR="00FD1471" w:rsidRPr="003E7D59" w:rsidTr="00D520D6">
        <w:tc>
          <w:tcPr>
            <w:tcW w:w="2040" w:type="dxa"/>
          </w:tcPr>
          <w:p w:rsidR="00FD1471" w:rsidRPr="003E7D59" w:rsidRDefault="00FD1471" w:rsidP="00BB24D4">
            <w:r w:rsidRPr="003E7D59">
              <w:t>Approval of funding (ratification)</w:t>
            </w:r>
          </w:p>
        </w:tc>
        <w:tc>
          <w:tcPr>
            <w:tcW w:w="1320" w:type="dxa"/>
          </w:tcPr>
          <w:p w:rsidR="00FD1471" w:rsidRPr="003E7D59" w:rsidRDefault="00FD1471" w:rsidP="00BB24D4">
            <w:r w:rsidRPr="003E7D59">
              <w:t>Keep until 25 years after end of last project</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 xml:space="preserve">Not needed, but must be linkable to relevant records. </w:t>
            </w:r>
          </w:p>
        </w:tc>
        <w:tc>
          <w:tcPr>
            <w:tcW w:w="3120" w:type="dxa"/>
          </w:tcPr>
          <w:p w:rsidR="00FD1471" w:rsidRPr="003E7D59" w:rsidRDefault="00FD1471" w:rsidP="00BB24D4">
            <w:r w:rsidRPr="003E7D59">
              <w:t xml:space="preserve">1 year after call, copy relevant records to </w:t>
            </w:r>
            <w:smartTag w:uri="urn:schemas-microsoft-com:office:smarttags" w:element="stockticker">
              <w:r w:rsidRPr="003E7D59">
                <w:t>DVD</w:t>
              </w:r>
            </w:smartTag>
            <w:r w:rsidRPr="003E7D59">
              <w:t>. Mark with review date that is 25 years + length of average project in the document properties or meta data field (CCF). Portal documents do not require archiving as there is no space constraint.</w:t>
            </w:r>
          </w:p>
        </w:tc>
        <w:tc>
          <w:tcPr>
            <w:tcW w:w="2412" w:type="dxa"/>
          </w:tcPr>
          <w:p w:rsidR="00FD1471" w:rsidRPr="003E7D59" w:rsidRDefault="00FD1471" w:rsidP="00BB24D4">
            <w:r w:rsidRPr="003E7D59">
              <w:t xml:space="preserve">At review date, check status of relevant projects. If all projects </w:t>
            </w:r>
            <w:r w:rsidRPr="003E7D59">
              <w:rPr>
                <w:u w:val="single"/>
              </w:rPr>
              <w:t>&gt;</w:t>
            </w:r>
            <w:r w:rsidRPr="003E7D59">
              <w:t xml:space="preserve"> 25 years post-completion, destroy; otherwise mark with new review date.</w:t>
            </w:r>
          </w:p>
        </w:tc>
        <w:tc>
          <w:tcPr>
            <w:tcW w:w="2400" w:type="dxa"/>
          </w:tcPr>
          <w:p w:rsidR="00FD1471" w:rsidRPr="003E7D59" w:rsidRDefault="00FD1471" w:rsidP="00BB24D4">
            <w:r w:rsidRPr="003E7D59">
              <w:rPr>
                <w:b/>
                <w:bCs/>
                <w:u w:val="single"/>
              </w:rPr>
              <w:t xml:space="preserve">N.B. </w:t>
            </w:r>
            <w:r w:rsidRPr="003E7D59">
              <w:t xml:space="preserve">You do not necessarily need to send these files to DRO (via DH) for destruction.  </w:t>
            </w:r>
          </w:p>
          <w:p w:rsidR="00FD1471" w:rsidRPr="003E7D59" w:rsidRDefault="00FD1471" w:rsidP="00BB24D4"/>
          <w:p w:rsidR="00FD1471" w:rsidRPr="003E7D59" w:rsidRDefault="00FD1471" w:rsidP="00BB24D4">
            <w:r w:rsidRPr="003E7D59">
              <w:t>* See footnote 1 for further details.</w:t>
            </w:r>
          </w:p>
        </w:tc>
      </w:tr>
    </w:tbl>
    <w:p w:rsidR="00223B08" w:rsidRDefault="00223B08" w:rsidP="00BB24D4">
      <w:r>
        <w:br w:type="page"/>
      </w:r>
    </w:p>
    <w:tbl>
      <w:tblPr>
        <w:tblW w:w="1442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320"/>
        <w:gridCol w:w="1212"/>
        <w:gridCol w:w="1920"/>
        <w:gridCol w:w="3120"/>
        <w:gridCol w:w="2412"/>
        <w:gridCol w:w="2400"/>
      </w:tblGrid>
      <w:tr w:rsidR="00FD1471" w:rsidRPr="003E7D59" w:rsidTr="00D520D6">
        <w:tc>
          <w:tcPr>
            <w:tcW w:w="14424" w:type="dxa"/>
            <w:gridSpan w:val="7"/>
          </w:tcPr>
          <w:p w:rsidR="00FD1471" w:rsidRPr="003E7D59" w:rsidRDefault="00FD1471" w:rsidP="00BB24D4">
            <w:pPr>
              <w:rPr>
                <w:b/>
                <w:bCs/>
              </w:rPr>
            </w:pPr>
            <w:r w:rsidRPr="003E7D59">
              <w:rPr>
                <w:b/>
                <w:bCs/>
              </w:rPr>
              <w:lastRenderedPageBreak/>
              <w:t>Records relating to unsuccessful applications</w:t>
            </w:r>
          </w:p>
        </w:tc>
      </w:tr>
      <w:tr w:rsidR="00FD1471" w:rsidRPr="003E7D59" w:rsidTr="00D520D6">
        <w:tc>
          <w:tcPr>
            <w:tcW w:w="2040" w:type="dxa"/>
          </w:tcPr>
          <w:p w:rsidR="00FD1471" w:rsidRPr="003E7D59" w:rsidRDefault="00FD1471" w:rsidP="00BB24D4">
            <w:r w:rsidRPr="003E7D59">
              <w:t>Statements of interest (ROI and PQQ) that do not convert to applications</w:t>
            </w:r>
          </w:p>
        </w:tc>
        <w:tc>
          <w:tcPr>
            <w:tcW w:w="1320" w:type="dxa"/>
          </w:tcPr>
          <w:p w:rsidR="00FD1471" w:rsidRPr="003E7D59" w:rsidRDefault="00FD1471" w:rsidP="00BB24D4">
            <w:r w:rsidRPr="003E7D59">
              <w:t xml:space="preserve">1 year after date of last entry. </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Not needed.</w:t>
            </w:r>
          </w:p>
        </w:tc>
        <w:tc>
          <w:tcPr>
            <w:tcW w:w="3120" w:type="dxa"/>
          </w:tcPr>
          <w:p w:rsidR="00FD1471" w:rsidRPr="003E7D59" w:rsidRDefault="00FD1471" w:rsidP="00BB24D4">
            <w:r w:rsidRPr="003E7D59">
              <w:t xml:space="preserve">Do not archive. </w:t>
            </w:r>
          </w:p>
        </w:tc>
        <w:tc>
          <w:tcPr>
            <w:tcW w:w="2412" w:type="dxa"/>
          </w:tcPr>
          <w:p w:rsidR="00FD1471" w:rsidRPr="003E7D59" w:rsidRDefault="00FD1471" w:rsidP="00BB24D4">
            <w:r w:rsidRPr="003E7D59">
              <w:t>For RfPB: After the ROI has rolled forward for 3 competitions, it can be deleted.</w:t>
            </w:r>
          </w:p>
          <w:p w:rsidR="00FD1471" w:rsidRPr="003E7D59" w:rsidRDefault="00FD1471" w:rsidP="00BB24D4">
            <w:r w:rsidRPr="003E7D59">
              <w:t>For other programmes: delete one year after receipt.</w:t>
            </w:r>
          </w:p>
        </w:tc>
        <w:tc>
          <w:tcPr>
            <w:tcW w:w="2400" w:type="dxa"/>
          </w:tcPr>
          <w:p w:rsidR="00FD1471" w:rsidRPr="003E7D59" w:rsidRDefault="00FD1471" w:rsidP="00BB24D4">
            <w:pPr>
              <w:spacing w:line="360" w:lineRule="auto"/>
              <w:rPr>
                <w:b/>
                <w:bCs/>
                <w:u w:val="single"/>
              </w:rPr>
            </w:pPr>
            <w:r w:rsidRPr="003E7D59">
              <w:rPr>
                <w:b/>
                <w:bCs/>
                <w:u w:val="single"/>
              </w:rPr>
              <w:t xml:space="preserve">N.B. </w:t>
            </w:r>
          </w:p>
          <w:p w:rsidR="00FD1471" w:rsidRPr="003E7D59" w:rsidRDefault="00FD1471" w:rsidP="00BB24D4">
            <w:r w:rsidRPr="003E7D59">
              <w:t xml:space="preserve">You do not necessarily need to send these files to DRO (via DH) for destruction.  </w:t>
            </w:r>
          </w:p>
          <w:p w:rsidR="00FD1471" w:rsidRPr="003E7D59" w:rsidRDefault="00FD1471" w:rsidP="00BB24D4"/>
          <w:p w:rsidR="00FD1471" w:rsidRPr="003E7D59" w:rsidRDefault="00FD1471" w:rsidP="00BB24D4">
            <w:r w:rsidRPr="003E7D59">
              <w:t>* See footnote 1 for further details.</w:t>
            </w:r>
          </w:p>
        </w:tc>
      </w:tr>
      <w:tr w:rsidR="00FD1471" w:rsidRPr="003E7D59" w:rsidTr="00D520D6">
        <w:tc>
          <w:tcPr>
            <w:tcW w:w="2040" w:type="dxa"/>
          </w:tcPr>
          <w:p w:rsidR="00FD1471" w:rsidRPr="003E7D59" w:rsidRDefault="00FD1471" w:rsidP="00BB24D4">
            <w:r w:rsidRPr="003E7D59">
              <w:t>Statements of interest (ROI and PQQ) that do convert to applications</w:t>
            </w:r>
          </w:p>
        </w:tc>
        <w:tc>
          <w:tcPr>
            <w:tcW w:w="1320" w:type="dxa"/>
            <w:vMerge w:val="restart"/>
          </w:tcPr>
          <w:p w:rsidR="00FD1471" w:rsidRPr="003E7D59" w:rsidRDefault="00FD1471" w:rsidP="00BB24D4">
            <w:r w:rsidRPr="003E7D59">
              <w:t xml:space="preserve">1 year after date of last entry. </w:t>
            </w:r>
          </w:p>
        </w:tc>
        <w:tc>
          <w:tcPr>
            <w:tcW w:w="1212" w:type="dxa"/>
            <w:vMerge w:val="restart"/>
          </w:tcPr>
          <w:p w:rsidR="00FD1471" w:rsidRPr="003E7D59" w:rsidRDefault="00FD1471" w:rsidP="00BB24D4">
            <w:r w:rsidRPr="003E7D59">
              <w:t>Electronic</w:t>
            </w:r>
          </w:p>
        </w:tc>
        <w:tc>
          <w:tcPr>
            <w:tcW w:w="1920" w:type="dxa"/>
            <w:vMerge w:val="restart"/>
          </w:tcPr>
          <w:p w:rsidR="00FD1471" w:rsidRPr="003E7D59" w:rsidRDefault="00FD1471" w:rsidP="00BB24D4">
            <w:r w:rsidRPr="003E7D59">
              <w:t>Not needed.</w:t>
            </w:r>
          </w:p>
        </w:tc>
        <w:tc>
          <w:tcPr>
            <w:tcW w:w="3120" w:type="dxa"/>
            <w:vMerge w:val="restart"/>
          </w:tcPr>
          <w:p w:rsidR="00FD1471" w:rsidRPr="003E7D59" w:rsidRDefault="00FD1471" w:rsidP="00BB24D4">
            <w:r w:rsidRPr="003E7D59">
              <w:t xml:space="preserve">Do not archive. </w:t>
            </w:r>
          </w:p>
        </w:tc>
        <w:tc>
          <w:tcPr>
            <w:tcW w:w="2412" w:type="dxa"/>
            <w:vMerge w:val="restart"/>
          </w:tcPr>
          <w:p w:rsidR="00FD1471" w:rsidRPr="003E7D59" w:rsidRDefault="00FD1471" w:rsidP="00BB24D4">
            <w:r w:rsidRPr="003E7D59">
              <w:t>The last paper will usually be the outcome letter, but may be extended if there is any correspondence regarding outcome. In practice, it is probably practical to dispose of all records together, one year after all correspondence has been finalised.</w:t>
            </w:r>
          </w:p>
        </w:tc>
        <w:tc>
          <w:tcPr>
            <w:tcW w:w="2400" w:type="dxa"/>
            <w:vMerge w:val="restart"/>
          </w:tcPr>
          <w:p w:rsidR="00FD1471" w:rsidRPr="003E7D59" w:rsidRDefault="00FD1471" w:rsidP="00BB24D4">
            <w:pPr>
              <w:spacing w:line="360" w:lineRule="auto"/>
              <w:rPr>
                <w:b/>
                <w:bCs/>
                <w:u w:val="single"/>
              </w:rPr>
            </w:pPr>
            <w:r w:rsidRPr="003E7D59">
              <w:rPr>
                <w:b/>
                <w:bCs/>
                <w:u w:val="single"/>
              </w:rPr>
              <w:t xml:space="preserve">N.B. </w:t>
            </w:r>
          </w:p>
          <w:p w:rsidR="00FD1471" w:rsidRPr="003E7D59" w:rsidRDefault="00FD1471" w:rsidP="00BB24D4">
            <w:r w:rsidRPr="003E7D59">
              <w:t xml:space="preserve">You do not necessarily need to send these files to DRO (via DH) for destruction.  </w:t>
            </w:r>
          </w:p>
          <w:p w:rsidR="00FD1471" w:rsidRPr="003E7D59" w:rsidRDefault="00FD1471" w:rsidP="00BB24D4"/>
          <w:p w:rsidR="00FD1471" w:rsidRPr="003E7D59" w:rsidRDefault="00FD1471" w:rsidP="00BB24D4">
            <w:r w:rsidRPr="003E7D59">
              <w:t>* See footnote 1 for further details.</w:t>
            </w:r>
          </w:p>
        </w:tc>
      </w:tr>
      <w:tr w:rsidR="00FD1471" w:rsidRPr="003E7D59" w:rsidTr="00D520D6">
        <w:tc>
          <w:tcPr>
            <w:tcW w:w="2040" w:type="dxa"/>
          </w:tcPr>
          <w:p w:rsidR="00FD1471" w:rsidRPr="003E7D59" w:rsidRDefault="00FD1471" w:rsidP="00BB24D4">
            <w:r w:rsidRPr="003E7D59">
              <w:t>Peer review comments</w:t>
            </w:r>
          </w:p>
        </w:tc>
        <w:tc>
          <w:tcPr>
            <w:tcW w:w="1320" w:type="dxa"/>
            <w:vMerge/>
          </w:tcPr>
          <w:p w:rsidR="00FD1471" w:rsidRPr="003E7D59" w:rsidRDefault="00FD1471" w:rsidP="00BB24D4"/>
        </w:tc>
        <w:tc>
          <w:tcPr>
            <w:tcW w:w="1212" w:type="dxa"/>
            <w:vMerge/>
          </w:tcPr>
          <w:p w:rsidR="00FD1471" w:rsidRPr="003E7D59" w:rsidRDefault="00FD1471" w:rsidP="00BB24D4"/>
        </w:tc>
        <w:tc>
          <w:tcPr>
            <w:tcW w:w="1920" w:type="dxa"/>
            <w:vMerge/>
          </w:tcPr>
          <w:p w:rsidR="00FD1471" w:rsidRPr="003E7D59" w:rsidRDefault="00FD1471" w:rsidP="00BB24D4"/>
        </w:tc>
        <w:tc>
          <w:tcPr>
            <w:tcW w:w="3120" w:type="dxa"/>
            <w:vMerge/>
          </w:tcPr>
          <w:p w:rsidR="00FD1471" w:rsidRPr="003E7D59" w:rsidRDefault="00FD1471" w:rsidP="00BB24D4"/>
        </w:tc>
        <w:tc>
          <w:tcPr>
            <w:tcW w:w="2412" w:type="dxa"/>
            <w:vMerge/>
          </w:tcPr>
          <w:p w:rsidR="00FD1471" w:rsidRPr="003E7D59" w:rsidRDefault="00FD1471" w:rsidP="00BB24D4"/>
        </w:tc>
        <w:tc>
          <w:tcPr>
            <w:tcW w:w="2400" w:type="dxa"/>
            <w:vMerge/>
          </w:tcPr>
          <w:p w:rsidR="00FD1471" w:rsidRPr="003E7D59" w:rsidRDefault="00FD1471" w:rsidP="00BB24D4"/>
        </w:tc>
      </w:tr>
      <w:tr w:rsidR="00FD1471" w:rsidRPr="003E7D59" w:rsidTr="00D520D6">
        <w:tc>
          <w:tcPr>
            <w:tcW w:w="2040" w:type="dxa"/>
          </w:tcPr>
          <w:p w:rsidR="00FD1471" w:rsidRPr="003E7D59" w:rsidRDefault="00FD1471" w:rsidP="00BB24D4">
            <w:r w:rsidRPr="003E7D59">
              <w:t>Application forms</w:t>
            </w:r>
          </w:p>
        </w:tc>
        <w:tc>
          <w:tcPr>
            <w:tcW w:w="1320" w:type="dxa"/>
            <w:vMerge/>
          </w:tcPr>
          <w:p w:rsidR="00FD1471" w:rsidRPr="003E7D59" w:rsidRDefault="00FD1471" w:rsidP="00BB24D4"/>
        </w:tc>
        <w:tc>
          <w:tcPr>
            <w:tcW w:w="1212" w:type="dxa"/>
            <w:vMerge/>
          </w:tcPr>
          <w:p w:rsidR="00FD1471" w:rsidRPr="003E7D59" w:rsidRDefault="00FD1471" w:rsidP="00BB24D4"/>
        </w:tc>
        <w:tc>
          <w:tcPr>
            <w:tcW w:w="1920" w:type="dxa"/>
            <w:vMerge/>
          </w:tcPr>
          <w:p w:rsidR="00FD1471" w:rsidRPr="003E7D59" w:rsidRDefault="00FD1471" w:rsidP="00BB24D4"/>
        </w:tc>
        <w:tc>
          <w:tcPr>
            <w:tcW w:w="3120" w:type="dxa"/>
            <w:vMerge/>
          </w:tcPr>
          <w:p w:rsidR="00FD1471" w:rsidRPr="003E7D59" w:rsidRDefault="00FD1471" w:rsidP="00BB24D4"/>
        </w:tc>
        <w:tc>
          <w:tcPr>
            <w:tcW w:w="2412" w:type="dxa"/>
            <w:vMerge/>
          </w:tcPr>
          <w:p w:rsidR="00FD1471" w:rsidRPr="003E7D59" w:rsidRDefault="00FD1471" w:rsidP="00BB24D4"/>
        </w:tc>
        <w:tc>
          <w:tcPr>
            <w:tcW w:w="2400" w:type="dxa"/>
            <w:vMerge/>
          </w:tcPr>
          <w:p w:rsidR="00FD1471" w:rsidRPr="003E7D59" w:rsidRDefault="00FD1471" w:rsidP="00BB24D4"/>
        </w:tc>
      </w:tr>
    </w:tbl>
    <w:p w:rsidR="00FD1471" w:rsidRPr="003E7D59" w:rsidRDefault="00FD1471" w:rsidP="00BB24D4"/>
    <w:p w:rsidR="00FD1471" w:rsidRPr="003E7D59" w:rsidRDefault="00FD1471" w:rsidP="00BB24D4">
      <w:r w:rsidRPr="003E7D59">
        <w:br w:type="page"/>
      </w:r>
    </w:p>
    <w:tbl>
      <w:tblPr>
        <w:tblW w:w="1442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320"/>
        <w:gridCol w:w="1212"/>
        <w:gridCol w:w="1920"/>
        <w:gridCol w:w="3120"/>
        <w:gridCol w:w="2412"/>
        <w:gridCol w:w="2400"/>
      </w:tblGrid>
      <w:tr w:rsidR="00FD1471" w:rsidRPr="003E7D59" w:rsidTr="00D520D6">
        <w:trPr>
          <w:cantSplit/>
        </w:trPr>
        <w:tc>
          <w:tcPr>
            <w:tcW w:w="14424" w:type="dxa"/>
            <w:gridSpan w:val="7"/>
          </w:tcPr>
          <w:p w:rsidR="00FD1471" w:rsidRPr="003E7D59" w:rsidRDefault="00FD1471" w:rsidP="00BB24D4">
            <w:pPr>
              <w:rPr>
                <w:b/>
                <w:bCs/>
              </w:rPr>
            </w:pPr>
            <w:r w:rsidRPr="003E7D59">
              <w:rPr>
                <w:b/>
                <w:bCs/>
              </w:rPr>
              <w:lastRenderedPageBreak/>
              <w:t>Records relating to individual projects</w:t>
            </w:r>
          </w:p>
        </w:tc>
      </w:tr>
      <w:tr w:rsidR="00FD1471" w:rsidRPr="003E7D59" w:rsidTr="00D520D6">
        <w:tc>
          <w:tcPr>
            <w:tcW w:w="2040" w:type="dxa"/>
          </w:tcPr>
          <w:p w:rsidR="00FD1471" w:rsidRPr="003E7D59" w:rsidRDefault="00FD1471" w:rsidP="00BB24D4">
            <w:pPr>
              <w:rPr>
                <w:b/>
                <w:bCs/>
              </w:rPr>
            </w:pPr>
            <w:r w:rsidRPr="003E7D59">
              <w:rPr>
                <w:b/>
                <w:bCs/>
              </w:rPr>
              <w:t>Item</w:t>
            </w:r>
          </w:p>
        </w:tc>
        <w:tc>
          <w:tcPr>
            <w:tcW w:w="1320" w:type="dxa"/>
          </w:tcPr>
          <w:p w:rsidR="00FD1471" w:rsidRPr="003E7D59" w:rsidRDefault="00FD1471" w:rsidP="00BB24D4">
            <w:pPr>
              <w:rPr>
                <w:b/>
                <w:bCs/>
              </w:rPr>
            </w:pPr>
            <w:r w:rsidRPr="003E7D59">
              <w:rPr>
                <w:b/>
                <w:bCs/>
              </w:rPr>
              <w:t>Retention policy</w:t>
            </w:r>
          </w:p>
        </w:tc>
        <w:tc>
          <w:tcPr>
            <w:tcW w:w="1212" w:type="dxa"/>
          </w:tcPr>
          <w:p w:rsidR="00FD1471" w:rsidRPr="003E7D59" w:rsidRDefault="00FD1471" w:rsidP="00BB24D4">
            <w:pPr>
              <w:rPr>
                <w:b/>
                <w:bCs/>
              </w:rPr>
            </w:pPr>
            <w:r w:rsidRPr="003E7D59">
              <w:rPr>
                <w:b/>
                <w:bCs/>
              </w:rPr>
              <w:t>Medium</w:t>
            </w:r>
          </w:p>
        </w:tc>
        <w:tc>
          <w:tcPr>
            <w:tcW w:w="1920" w:type="dxa"/>
          </w:tcPr>
          <w:p w:rsidR="00FD1471" w:rsidRPr="003E7D59" w:rsidRDefault="00FD1471" w:rsidP="00BB24D4">
            <w:pPr>
              <w:rPr>
                <w:b/>
                <w:bCs/>
              </w:rPr>
            </w:pPr>
            <w:r w:rsidRPr="003E7D59">
              <w:rPr>
                <w:b/>
                <w:bCs/>
              </w:rPr>
              <w:t>Registry number</w:t>
            </w:r>
          </w:p>
        </w:tc>
        <w:tc>
          <w:tcPr>
            <w:tcW w:w="3120" w:type="dxa"/>
          </w:tcPr>
          <w:p w:rsidR="00FD1471" w:rsidRPr="003E7D59" w:rsidRDefault="00FD1471" w:rsidP="00BB24D4">
            <w:pPr>
              <w:rPr>
                <w:b/>
                <w:bCs/>
              </w:rPr>
            </w:pPr>
            <w:r w:rsidRPr="003E7D59">
              <w:rPr>
                <w:b/>
                <w:bCs/>
              </w:rPr>
              <w:t>Archive procedure</w:t>
            </w:r>
          </w:p>
        </w:tc>
        <w:tc>
          <w:tcPr>
            <w:tcW w:w="2412" w:type="dxa"/>
          </w:tcPr>
          <w:p w:rsidR="00FD1471" w:rsidRPr="003E7D59" w:rsidRDefault="00FD1471" w:rsidP="00BB24D4">
            <w:pPr>
              <w:rPr>
                <w:b/>
                <w:bCs/>
              </w:rPr>
            </w:pPr>
            <w:r w:rsidRPr="003E7D59">
              <w:rPr>
                <w:b/>
                <w:bCs/>
              </w:rPr>
              <w:t>Destruction procedure</w:t>
            </w:r>
          </w:p>
        </w:tc>
        <w:tc>
          <w:tcPr>
            <w:tcW w:w="2400" w:type="dxa"/>
          </w:tcPr>
          <w:p w:rsidR="00FD1471" w:rsidRPr="003E7D59" w:rsidRDefault="00FD1471" w:rsidP="00BB24D4">
            <w:pPr>
              <w:rPr>
                <w:b/>
                <w:bCs/>
              </w:rPr>
            </w:pPr>
            <w:r w:rsidRPr="003E7D59">
              <w:rPr>
                <w:b/>
                <w:bCs/>
              </w:rPr>
              <w:t>Notes</w:t>
            </w:r>
          </w:p>
        </w:tc>
      </w:tr>
      <w:tr w:rsidR="00FD1471" w:rsidRPr="003E7D59" w:rsidTr="00D520D6">
        <w:tc>
          <w:tcPr>
            <w:tcW w:w="2040" w:type="dxa"/>
          </w:tcPr>
          <w:p w:rsidR="00FD1471" w:rsidRPr="003E7D59" w:rsidRDefault="00FD1471" w:rsidP="00BB24D4">
            <w:r w:rsidRPr="003E7D59">
              <w:t>Statements of interest (ROI and PQQ) from successful projects</w:t>
            </w:r>
          </w:p>
        </w:tc>
        <w:tc>
          <w:tcPr>
            <w:tcW w:w="1320" w:type="dxa"/>
          </w:tcPr>
          <w:p w:rsidR="00FD1471" w:rsidRPr="003E7D59" w:rsidRDefault="00FD1471" w:rsidP="00BB24D4">
            <w:r w:rsidRPr="003E7D59">
              <w:t>25 years from end of contract</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 xml:space="preserve">Needed. </w:t>
            </w:r>
          </w:p>
        </w:tc>
        <w:tc>
          <w:tcPr>
            <w:tcW w:w="3120" w:type="dxa"/>
          </w:tcPr>
          <w:p w:rsidR="00FD1471" w:rsidRPr="003E7D59" w:rsidRDefault="00FD1471" w:rsidP="00BB24D4">
            <w:r w:rsidRPr="003E7D59">
              <w:t xml:space="preserve">Copy to </w:t>
            </w:r>
            <w:smartTag w:uri="urn:schemas-microsoft-com:office:smarttags" w:element="stockticker">
              <w:r w:rsidRPr="003E7D59">
                <w:t>DVD</w:t>
              </w:r>
            </w:smartTag>
            <w:r w:rsidRPr="003E7D59">
              <w:t xml:space="preserve"> and send to DH Registry together with paper files. Destruction date must be noted in the document properties or meta data field (CCF).</w:t>
            </w:r>
          </w:p>
        </w:tc>
        <w:tc>
          <w:tcPr>
            <w:tcW w:w="2412" w:type="dxa"/>
          </w:tcPr>
          <w:p w:rsidR="00FD1471" w:rsidRPr="003E7D59" w:rsidRDefault="00FD1471" w:rsidP="00BB24D4">
            <w:r w:rsidRPr="003E7D59">
              <w:t>Not applicable – all records are destroyed by DH</w:t>
            </w:r>
          </w:p>
        </w:tc>
        <w:tc>
          <w:tcPr>
            <w:tcW w:w="2400" w:type="dxa"/>
          </w:tcPr>
          <w:p w:rsidR="00FD1471" w:rsidRPr="003E7D59" w:rsidRDefault="00FD1471" w:rsidP="00BB24D4"/>
        </w:tc>
      </w:tr>
      <w:tr w:rsidR="00FD1471" w:rsidRPr="003E7D59" w:rsidTr="00D520D6">
        <w:tc>
          <w:tcPr>
            <w:tcW w:w="2040" w:type="dxa"/>
          </w:tcPr>
          <w:p w:rsidR="00FD1471" w:rsidRPr="003E7D59" w:rsidRDefault="00FD1471" w:rsidP="00BB24D4">
            <w:r w:rsidRPr="003E7D59">
              <w:t>Peer review comments</w:t>
            </w:r>
          </w:p>
        </w:tc>
        <w:tc>
          <w:tcPr>
            <w:tcW w:w="1320" w:type="dxa"/>
          </w:tcPr>
          <w:p w:rsidR="00FD1471" w:rsidRPr="003E7D59" w:rsidRDefault="00FD1471" w:rsidP="00BB24D4">
            <w:r w:rsidRPr="003E7D59">
              <w:t>25 years from end of contract</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 xml:space="preserve">Needed. </w:t>
            </w:r>
          </w:p>
        </w:tc>
        <w:tc>
          <w:tcPr>
            <w:tcW w:w="3120" w:type="dxa"/>
          </w:tcPr>
          <w:p w:rsidR="00FD1471" w:rsidRPr="003E7D59" w:rsidRDefault="00FD1471" w:rsidP="00BB24D4">
            <w:r w:rsidRPr="003E7D59">
              <w:t xml:space="preserve">Copy to </w:t>
            </w:r>
            <w:smartTag w:uri="urn:schemas-microsoft-com:office:smarttags" w:element="stockticker">
              <w:r w:rsidRPr="003E7D59">
                <w:t>DVD</w:t>
              </w:r>
            </w:smartTag>
            <w:r w:rsidRPr="003E7D59">
              <w:t xml:space="preserve"> and send to DH Registry together with paper files. Destruction date must be noted in the document properties or meta data field (CCF).</w:t>
            </w:r>
          </w:p>
        </w:tc>
        <w:tc>
          <w:tcPr>
            <w:tcW w:w="2412" w:type="dxa"/>
          </w:tcPr>
          <w:p w:rsidR="00FD1471" w:rsidRPr="003E7D59" w:rsidRDefault="00FD1471" w:rsidP="00BB24D4">
            <w:r w:rsidRPr="003E7D59">
              <w:t>Not applicable – all records are destroyed by DH</w:t>
            </w:r>
          </w:p>
        </w:tc>
        <w:tc>
          <w:tcPr>
            <w:tcW w:w="2400" w:type="dxa"/>
          </w:tcPr>
          <w:p w:rsidR="00FD1471" w:rsidRPr="003E7D59" w:rsidRDefault="00FD1471" w:rsidP="00BB24D4"/>
        </w:tc>
      </w:tr>
      <w:tr w:rsidR="00FD1471" w:rsidRPr="003E7D59" w:rsidTr="00D520D6">
        <w:tc>
          <w:tcPr>
            <w:tcW w:w="2040" w:type="dxa"/>
          </w:tcPr>
          <w:p w:rsidR="00FD1471" w:rsidRPr="003E7D59" w:rsidRDefault="00FD1471" w:rsidP="00BB24D4">
            <w:r w:rsidRPr="003E7D59">
              <w:t>Outcome letter (= decision letter)</w:t>
            </w:r>
          </w:p>
        </w:tc>
        <w:tc>
          <w:tcPr>
            <w:tcW w:w="1320" w:type="dxa"/>
          </w:tcPr>
          <w:p w:rsidR="00FD1471" w:rsidRPr="003E7D59" w:rsidRDefault="00FD1471" w:rsidP="00BB24D4">
            <w:r w:rsidRPr="003E7D59">
              <w:t>25 years from end of contract</w:t>
            </w:r>
          </w:p>
        </w:tc>
        <w:tc>
          <w:tcPr>
            <w:tcW w:w="1212" w:type="dxa"/>
          </w:tcPr>
          <w:p w:rsidR="00FD1471" w:rsidRPr="003E7D59" w:rsidRDefault="00FD1471" w:rsidP="00BB24D4">
            <w:r w:rsidRPr="003E7D59">
              <w:t>Paper.</w:t>
            </w:r>
          </w:p>
        </w:tc>
        <w:tc>
          <w:tcPr>
            <w:tcW w:w="1920" w:type="dxa"/>
          </w:tcPr>
          <w:p w:rsidR="00FD1471" w:rsidRPr="003E7D59" w:rsidRDefault="00FD1471" w:rsidP="00BB24D4">
            <w:r w:rsidRPr="003E7D59">
              <w:t>Needed</w:t>
            </w:r>
          </w:p>
        </w:tc>
        <w:tc>
          <w:tcPr>
            <w:tcW w:w="3120" w:type="dxa"/>
          </w:tcPr>
          <w:p w:rsidR="00FD1471" w:rsidRPr="003E7D59" w:rsidRDefault="00FD1471" w:rsidP="00BB24D4">
            <w:r w:rsidRPr="003E7D59">
              <w:t>Send to DH Registry as detailed in SOP. Destruction date must be completed.</w:t>
            </w:r>
          </w:p>
        </w:tc>
        <w:tc>
          <w:tcPr>
            <w:tcW w:w="2412" w:type="dxa"/>
          </w:tcPr>
          <w:p w:rsidR="00FD1471" w:rsidRPr="003E7D59" w:rsidRDefault="00FD1471" w:rsidP="00BB24D4"/>
        </w:tc>
        <w:tc>
          <w:tcPr>
            <w:tcW w:w="2400" w:type="dxa"/>
          </w:tcPr>
          <w:p w:rsidR="00FD1471" w:rsidRPr="003E7D59" w:rsidRDefault="00FD1471" w:rsidP="00BB24D4">
            <w:r w:rsidRPr="003E7D59">
              <w:t>Must be included in pink project file.</w:t>
            </w:r>
          </w:p>
        </w:tc>
      </w:tr>
      <w:tr w:rsidR="00FD1471" w:rsidRPr="003E7D59" w:rsidTr="00D520D6">
        <w:tc>
          <w:tcPr>
            <w:tcW w:w="2040" w:type="dxa"/>
          </w:tcPr>
          <w:p w:rsidR="00FD1471" w:rsidRPr="003E7D59" w:rsidRDefault="00FD1471" w:rsidP="00BB24D4">
            <w:r w:rsidRPr="003E7D59">
              <w:t>Successful tender document = agreed work programme (application form + agreed changes)</w:t>
            </w:r>
          </w:p>
        </w:tc>
        <w:tc>
          <w:tcPr>
            <w:tcW w:w="1320" w:type="dxa"/>
          </w:tcPr>
          <w:p w:rsidR="00FD1471" w:rsidRPr="003E7D59" w:rsidRDefault="00FD1471" w:rsidP="00BB24D4">
            <w:r w:rsidRPr="003E7D59">
              <w:t>25 years from end of contract</w:t>
            </w:r>
          </w:p>
        </w:tc>
        <w:tc>
          <w:tcPr>
            <w:tcW w:w="1212" w:type="dxa"/>
          </w:tcPr>
          <w:p w:rsidR="00FD1471" w:rsidRPr="003E7D59" w:rsidRDefault="00FD1471" w:rsidP="00BB24D4">
            <w:r w:rsidRPr="003E7D59">
              <w:t xml:space="preserve">Paper </w:t>
            </w:r>
          </w:p>
        </w:tc>
        <w:tc>
          <w:tcPr>
            <w:tcW w:w="1920" w:type="dxa"/>
          </w:tcPr>
          <w:p w:rsidR="00FD1471" w:rsidRPr="003E7D59" w:rsidRDefault="00FD1471" w:rsidP="00BB24D4">
            <w:r w:rsidRPr="003E7D59">
              <w:t>Needed</w:t>
            </w:r>
          </w:p>
        </w:tc>
        <w:tc>
          <w:tcPr>
            <w:tcW w:w="3120" w:type="dxa"/>
          </w:tcPr>
          <w:p w:rsidR="00FD1471" w:rsidRPr="003E7D59" w:rsidRDefault="00FD1471" w:rsidP="00BB24D4">
            <w:r w:rsidRPr="003E7D59">
              <w:t>Send to DH Registry as detailed in SOP. Destruction date must be completed.</w:t>
            </w:r>
          </w:p>
        </w:tc>
        <w:tc>
          <w:tcPr>
            <w:tcW w:w="2412" w:type="dxa"/>
          </w:tcPr>
          <w:p w:rsidR="00FD1471" w:rsidRPr="003E7D59" w:rsidRDefault="00FD1471" w:rsidP="00BB24D4"/>
        </w:tc>
        <w:tc>
          <w:tcPr>
            <w:tcW w:w="2400" w:type="dxa"/>
          </w:tcPr>
          <w:p w:rsidR="00FD1471" w:rsidRPr="003E7D59" w:rsidRDefault="00FD1471" w:rsidP="00BB24D4">
            <w:r w:rsidRPr="003E7D59">
              <w:t xml:space="preserve">Retained as part of pink project file. </w:t>
            </w:r>
          </w:p>
        </w:tc>
      </w:tr>
      <w:tr w:rsidR="00FD1471" w:rsidRPr="003E7D59" w:rsidTr="00D520D6">
        <w:tc>
          <w:tcPr>
            <w:tcW w:w="2040" w:type="dxa"/>
          </w:tcPr>
          <w:p w:rsidR="00FD1471" w:rsidRPr="003E7D59" w:rsidRDefault="00FD1471" w:rsidP="00BB24D4">
            <w:r w:rsidRPr="003E7D59">
              <w:t xml:space="preserve">Signed contract and </w:t>
            </w:r>
            <w:r w:rsidRPr="003E7D59">
              <w:lastRenderedPageBreak/>
              <w:t>cover letter</w:t>
            </w:r>
          </w:p>
        </w:tc>
        <w:tc>
          <w:tcPr>
            <w:tcW w:w="1320" w:type="dxa"/>
          </w:tcPr>
          <w:p w:rsidR="00FD1471" w:rsidRPr="003E7D59" w:rsidRDefault="00FD1471" w:rsidP="00BB24D4">
            <w:r w:rsidRPr="003E7D59">
              <w:lastRenderedPageBreak/>
              <w:t xml:space="preserve">25 years from end of </w:t>
            </w:r>
            <w:r w:rsidRPr="003E7D59">
              <w:lastRenderedPageBreak/>
              <w:t>contract</w:t>
            </w:r>
          </w:p>
        </w:tc>
        <w:tc>
          <w:tcPr>
            <w:tcW w:w="1212" w:type="dxa"/>
          </w:tcPr>
          <w:p w:rsidR="00FD1471" w:rsidRPr="003E7D59" w:rsidRDefault="00FD1471" w:rsidP="00BB24D4">
            <w:r w:rsidRPr="003E7D59">
              <w:lastRenderedPageBreak/>
              <w:t>Paper</w:t>
            </w:r>
          </w:p>
        </w:tc>
        <w:tc>
          <w:tcPr>
            <w:tcW w:w="1920" w:type="dxa"/>
          </w:tcPr>
          <w:p w:rsidR="00FD1471" w:rsidRPr="003E7D59" w:rsidRDefault="00FD1471" w:rsidP="00BB24D4">
            <w:r w:rsidRPr="003E7D59">
              <w:t>Needed</w:t>
            </w:r>
          </w:p>
        </w:tc>
        <w:tc>
          <w:tcPr>
            <w:tcW w:w="3120" w:type="dxa"/>
          </w:tcPr>
          <w:p w:rsidR="00FD1471" w:rsidRPr="003E7D59" w:rsidRDefault="00FD1471" w:rsidP="00BB24D4">
            <w:r w:rsidRPr="003E7D59">
              <w:t xml:space="preserve">Send to DH Registry as detailed in SOP. Destruction date must </w:t>
            </w:r>
            <w:r w:rsidRPr="003E7D59">
              <w:lastRenderedPageBreak/>
              <w:t>be completed.</w:t>
            </w:r>
          </w:p>
        </w:tc>
        <w:tc>
          <w:tcPr>
            <w:tcW w:w="2412" w:type="dxa"/>
          </w:tcPr>
          <w:p w:rsidR="00FD1471" w:rsidRPr="003E7D59" w:rsidRDefault="00FD1471" w:rsidP="00BB24D4"/>
        </w:tc>
        <w:tc>
          <w:tcPr>
            <w:tcW w:w="2400" w:type="dxa"/>
          </w:tcPr>
          <w:p w:rsidR="00FD1471" w:rsidRPr="003E7D59" w:rsidRDefault="00FD1471" w:rsidP="00BB24D4">
            <w:r w:rsidRPr="003E7D59">
              <w:t xml:space="preserve">Wet ink signature must </w:t>
            </w:r>
            <w:r w:rsidRPr="003E7D59">
              <w:lastRenderedPageBreak/>
              <w:t>be on pink project file</w:t>
            </w:r>
          </w:p>
        </w:tc>
      </w:tr>
      <w:tr w:rsidR="00FD1471" w:rsidRPr="003E7D59" w:rsidTr="00D520D6">
        <w:tc>
          <w:tcPr>
            <w:tcW w:w="2040" w:type="dxa"/>
          </w:tcPr>
          <w:p w:rsidR="00FD1471" w:rsidRPr="003E7D59" w:rsidRDefault="00FD1471" w:rsidP="00BB24D4">
            <w:r w:rsidRPr="003E7D59">
              <w:lastRenderedPageBreak/>
              <w:t>Other correspondence</w:t>
            </w:r>
          </w:p>
        </w:tc>
        <w:tc>
          <w:tcPr>
            <w:tcW w:w="1320" w:type="dxa"/>
          </w:tcPr>
          <w:p w:rsidR="00FD1471" w:rsidRPr="003E7D59" w:rsidRDefault="00FD1471" w:rsidP="00BB24D4">
            <w:r w:rsidRPr="003E7D59">
              <w:t>25 years from end of contract</w:t>
            </w:r>
          </w:p>
        </w:tc>
        <w:tc>
          <w:tcPr>
            <w:tcW w:w="1212" w:type="dxa"/>
          </w:tcPr>
          <w:p w:rsidR="00FD1471" w:rsidRPr="003E7D59" w:rsidRDefault="00FD1471" w:rsidP="00BB24D4">
            <w:r w:rsidRPr="003E7D59">
              <w:t>Electronic</w:t>
            </w:r>
          </w:p>
        </w:tc>
        <w:tc>
          <w:tcPr>
            <w:tcW w:w="1920" w:type="dxa"/>
          </w:tcPr>
          <w:p w:rsidR="00FD1471" w:rsidRPr="003E7D59" w:rsidRDefault="00FD1471" w:rsidP="00BB24D4">
            <w:r w:rsidRPr="003E7D59">
              <w:t>Needed</w:t>
            </w:r>
          </w:p>
        </w:tc>
        <w:tc>
          <w:tcPr>
            <w:tcW w:w="3120" w:type="dxa"/>
          </w:tcPr>
          <w:p w:rsidR="00FD1471" w:rsidRPr="003E7D59" w:rsidRDefault="00FD1471" w:rsidP="00BB24D4">
            <w:r w:rsidRPr="003E7D59">
              <w:t xml:space="preserve">Copy to </w:t>
            </w:r>
            <w:smartTag w:uri="urn:schemas-microsoft-com:office:smarttags" w:element="stockticker">
              <w:r w:rsidRPr="003E7D59">
                <w:t>DVD</w:t>
              </w:r>
            </w:smartTag>
            <w:r w:rsidRPr="003E7D59">
              <w:t xml:space="preserve"> and send to DH Registry together with paper files. Destruction date must be noted in the document properties or meta data field (CCF).</w:t>
            </w:r>
          </w:p>
        </w:tc>
        <w:tc>
          <w:tcPr>
            <w:tcW w:w="2412" w:type="dxa"/>
          </w:tcPr>
          <w:p w:rsidR="00FD1471" w:rsidRPr="003E7D59" w:rsidRDefault="00FD1471" w:rsidP="00BB24D4"/>
        </w:tc>
        <w:tc>
          <w:tcPr>
            <w:tcW w:w="2400" w:type="dxa"/>
          </w:tcPr>
          <w:p w:rsidR="00FD1471" w:rsidRPr="003E7D59" w:rsidRDefault="00FD1471" w:rsidP="00BB24D4">
            <w:r w:rsidRPr="003E7D59">
              <w:t>Routine correspondence (e.g. reminders for routine reports or minor enquiries that are immediately answered) do not need to be retained.</w:t>
            </w:r>
          </w:p>
        </w:tc>
      </w:tr>
    </w:tbl>
    <w:p w:rsidR="00FD1471" w:rsidRPr="003E7D59" w:rsidRDefault="00FD1471" w:rsidP="00BB24D4">
      <w:pPr>
        <w:rPr>
          <w:u w:val="single"/>
        </w:rPr>
      </w:pPr>
    </w:p>
    <w:p w:rsidR="00FD1471" w:rsidRPr="003E7D59" w:rsidRDefault="00FD1471" w:rsidP="00BB24D4">
      <w:pPr>
        <w:rPr>
          <w:b/>
          <w:bCs/>
        </w:rPr>
      </w:pPr>
      <w:r w:rsidRPr="003E7D59">
        <w:rPr>
          <w:b/>
          <w:bCs/>
        </w:rPr>
        <w:t>Records relating to Programmes:</w:t>
      </w:r>
    </w:p>
    <w:p w:rsidR="00FD1471" w:rsidRPr="003E7D59" w:rsidRDefault="00FD1471" w:rsidP="00BB24D4">
      <w:pPr>
        <w:autoSpaceDE w:val="0"/>
        <w:autoSpaceDN w:val="0"/>
        <w:adjustRightInd w:val="0"/>
      </w:pPr>
      <w:r w:rsidRPr="003E7D59">
        <w:t xml:space="preserve">For documents that relate to Programme management, without relating to specific applications or contracts, e.g. those relating to appointment of Panels, Chairs, Programme policy and strategy, they should be retained for a minimum of 6 years. </w:t>
      </w:r>
    </w:p>
    <w:p w:rsidR="00FD1471" w:rsidRPr="003E7D59" w:rsidRDefault="00FD1471" w:rsidP="00BB24D4">
      <w:pPr>
        <w:autoSpaceDE w:val="0"/>
        <w:autoSpaceDN w:val="0"/>
        <w:adjustRightInd w:val="0"/>
        <w:rPr>
          <w:b/>
        </w:rPr>
      </w:pPr>
      <w:r w:rsidRPr="003E7D59">
        <w:rPr>
          <w:b/>
        </w:rPr>
        <w:t>Accessibility of electronic documents:</w:t>
      </w:r>
    </w:p>
    <w:p w:rsidR="00FD1471" w:rsidRPr="003E7D59" w:rsidRDefault="00FD1471" w:rsidP="00BB24D4">
      <w:pPr>
        <w:autoSpaceDE w:val="0"/>
        <w:autoSpaceDN w:val="0"/>
        <w:adjustRightInd w:val="0"/>
      </w:pPr>
      <w:r w:rsidRPr="003E7D59">
        <w:t>Electronic documents should be stored in a format that is widely accessible at the time of their creation.</w:t>
      </w:r>
    </w:p>
    <w:p w:rsidR="00FD1471" w:rsidRPr="003E7D59" w:rsidRDefault="00FD1471" w:rsidP="00BB24D4">
      <w:pPr>
        <w:spacing w:line="360" w:lineRule="auto"/>
        <w:rPr>
          <w:b/>
          <w:bCs/>
          <w:u w:val="single"/>
        </w:rPr>
      </w:pPr>
      <w:r w:rsidRPr="003E7D59">
        <w:rPr>
          <w:b/>
          <w:bCs/>
          <w:u w:val="single"/>
        </w:rPr>
        <w:t xml:space="preserve">N.B. </w:t>
      </w:r>
    </w:p>
    <w:p w:rsidR="00FD1471" w:rsidRPr="003E7D59" w:rsidRDefault="00FD1471" w:rsidP="00BB24D4">
      <w:pPr>
        <w:rPr>
          <w:sz w:val="16"/>
          <w:szCs w:val="16"/>
        </w:rPr>
      </w:pPr>
      <w:r w:rsidRPr="003E7D59">
        <w:rPr>
          <w:sz w:val="16"/>
          <w:szCs w:val="16"/>
        </w:rPr>
        <w:t>1 You do not necessarily need to send these files to DRO (via DH) for destruction.  However, before destroying any files relating to the research commissioning process locally, you must do the following for each file / batch of files that you intend to destroy:</w:t>
      </w:r>
    </w:p>
    <w:p w:rsidR="00FD1471" w:rsidRPr="003E7D59" w:rsidRDefault="00FD1471" w:rsidP="00BB24D4">
      <w:pPr>
        <w:numPr>
          <w:ilvl w:val="0"/>
          <w:numId w:val="9"/>
        </w:numPr>
        <w:spacing w:after="0" w:line="240" w:lineRule="auto"/>
        <w:rPr>
          <w:sz w:val="16"/>
          <w:szCs w:val="16"/>
        </w:rPr>
      </w:pPr>
      <w:r w:rsidRPr="003E7D59">
        <w:rPr>
          <w:color w:val="000000"/>
          <w:sz w:val="16"/>
          <w:szCs w:val="16"/>
        </w:rPr>
        <w:t>Undertake a risk analysis surrounding local destruction that has been approved by the relevant commissioning centre.</w:t>
      </w:r>
    </w:p>
    <w:p w:rsidR="00FD1471" w:rsidRPr="003E7D59" w:rsidRDefault="00FD1471" w:rsidP="00BB24D4">
      <w:pPr>
        <w:numPr>
          <w:ilvl w:val="0"/>
          <w:numId w:val="9"/>
        </w:numPr>
        <w:spacing w:after="0" w:line="240" w:lineRule="auto"/>
        <w:rPr>
          <w:sz w:val="16"/>
          <w:szCs w:val="16"/>
        </w:rPr>
      </w:pPr>
      <w:r w:rsidRPr="003E7D59">
        <w:rPr>
          <w:color w:val="000000"/>
          <w:sz w:val="16"/>
          <w:szCs w:val="16"/>
        </w:rPr>
        <w:t>Create an index / spreadsheet of any files destroyed locally, so that should a question be asked relating to these work areas, an audit trail for their destruction can be supplied.</w:t>
      </w:r>
    </w:p>
    <w:p w:rsidR="00FD1471" w:rsidRPr="003E7D59" w:rsidRDefault="00FD1471" w:rsidP="00BB24D4">
      <w:pPr>
        <w:numPr>
          <w:ilvl w:val="0"/>
          <w:numId w:val="9"/>
        </w:numPr>
        <w:spacing w:after="0" w:line="240" w:lineRule="auto"/>
        <w:rPr>
          <w:sz w:val="16"/>
          <w:szCs w:val="16"/>
        </w:rPr>
      </w:pPr>
      <w:r w:rsidRPr="003E7D59">
        <w:rPr>
          <w:color w:val="000000"/>
          <w:sz w:val="16"/>
          <w:szCs w:val="16"/>
        </w:rPr>
        <w:t>Send a copy of index / spreadsheet to Kathy Mann at DH on a regular basis.</w:t>
      </w:r>
    </w:p>
    <w:p w:rsidR="006947CC" w:rsidRPr="003E7D59" w:rsidRDefault="006947CC" w:rsidP="00BB24D4">
      <w:pPr>
        <w:rPr>
          <w:sz w:val="28"/>
          <w:szCs w:val="28"/>
        </w:rPr>
      </w:pPr>
      <w:r w:rsidRPr="003E7D59">
        <w:rPr>
          <w:sz w:val="28"/>
          <w:szCs w:val="28"/>
        </w:rPr>
        <w:br w:type="page"/>
      </w:r>
    </w:p>
    <w:p w:rsidR="00D520D6" w:rsidRPr="003E7D59" w:rsidRDefault="00D520D6" w:rsidP="00BB24D4">
      <w:pPr>
        <w:ind w:left="2127" w:hanging="2127"/>
        <w:rPr>
          <w:b/>
          <w:sz w:val="28"/>
          <w:szCs w:val="28"/>
          <w:u w:val="single"/>
        </w:rPr>
        <w:sectPr w:rsidR="00D520D6" w:rsidRPr="003E7D59" w:rsidSect="00DB159A">
          <w:headerReference w:type="default" r:id="rId18"/>
          <w:footerReference w:type="default" r:id="rId19"/>
          <w:pgSz w:w="16838" w:h="11906" w:orient="landscape"/>
          <w:pgMar w:top="1440" w:right="1440" w:bottom="1440" w:left="1440" w:header="708" w:footer="708" w:gutter="0"/>
          <w:cols w:space="708"/>
          <w:docGrid w:linePitch="360"/>
        </w:sectPr>
      </w:pPr>
    </w:p>
    <w:p w:rsidR="006947CC" w:rsidRPr="003E7D59" w:rsidRDefault="006947CC" w:rsidP="00BB24D4">
      <w:pPr>
        <w:ind w:left="2127" w:hanging="2127"/>
        <w:rPr>
          <w:b/>
          <w:sz w:val="28"/>
          <w:szCs w:val="28"/>
          <w:u w:val="single"/>
        </w:rPr>
      </w:pPr>
      <w:r w:rsidRPr="003E7D59">
        <w:rPr>
          <w:b/>
          <w:sz w:val="28"/>
          <w:szCs w:val="28"/>
          <w:u w:val="single"/>
        </w:rPr>
        <w:lastRenderedPageBreak/>
        <w:t>Standard Operating Procedure Number 4</w:t>
      </w:r>
    </w:p>
    <w:p w:rsidR="006947CC" w:rsidRPr="003E7D59" w:rsidRDefault="006947CC" w:rsidP="00BB24D4">
      <w:pPr>
        <w:ind w:left="2127" w:hanging="2127"/>
        <w:rPr>
          <w:b/>
          <w:sz w:val="28"/>
          <w:szCs w:val="28"/>
        </w:rPr>
      </w:pPr>
      <w:r w:rsidRPr="003E7D59">
        <w:rPr>
          <w:b/>
          <w:sz w:val="28"/>
          <w:szCs w:val="28"/>
        </w:rPr>
        <w:t>Pink File Management</w:t>
      </w:r>
    </w:p>
    <w:p w:rsidR="00D520D6" w:rsidRPr="003E7D59" w:rsidRDefault="00D520D6" w:rsidP="00BB24D4">
      <w:pPr>
        <w:pStyle w:val="BodyText"/>
        <w:spacing w:after="0"/>
        <w:rPr>
          <w:rFonts w:asciiTheme="minorHAnsi" w:hAnsiTheme="minorHAnsi"/>
          <w:b/>
          <w:sz w:val="28"/>
          <w:szCs w:val="28"/>
        </w:rPr>
      </w:pPr>
    </w:p>
    <w:p w:rsidR="00D520D6" w:rsidRPr="003E7D59" w:rsidRDefault="00D520D6" w:rsidP="00BB24D4">
      <w:pPr>
        <w:pStyle w:val="BodyText"/>
        <w:numPr>
          <w:ilvl w:val="0"/>
          <w:numId w:val="15"/>
        </w:numPr>
        <w:spacing w:after="0"/>
        <w:rPr>
          <w:rFonts w:asciiTheme="minorHAnsi" w:hAnsiTheme="minorHAnsi"/>
          <w:b/>
          <w:bCs/>
          <w:sz w:val="28"/>
          <w:szCs w:val="28"/>
        </w:rPr>
      </w:pPr>
      <w:r w:rsidRPr="003E7D59">
        <w:rPr>
          <w:rFonts w:asciiTheme="minorHAnsi" w:hAnsiTheme="minorHAnsi"/>
          <w:b/>
          <w:bCs/>
          <w:sz w:val="28"/>
        </w:rPr>
        <w:t>Background</w:t>
      </w:r>
    </w:p>
    <w:p w:rsidR="00D520D6" w:rsidRPr="003E7D59" w:rsidRDefault="00D520D6" w:rsidP="0031568B">
      <w:pPr>
        <w:autoSpaceDE w:val="0"/>
        <w:autoSpaceDN w:val="0"/>
        <w:adjustRightInd w:val="0"/>
        <w:jc w:val="both"/>
        <w:rPr>
          <w:bCs/>
        </w:rPr>
      </w:pPr>
      <w:r w:rsidRPr="00953798">
        <w:rPr>
          <w:bCs/>
        </w:rPr>
        <w:t xml:space="preserve">Contracted work funded through the National Institute for Health Research (NIHR), Policy Research Programme (PRP) and Health Innovation Challenge Fund (HICF) must have a contract file (pink folder – known as a policy file in the Department of Health [DH]). The folder is used to keep paper copies of important contract records. This procedure relates to files belonging to all </w:t>
      </w:r>
      <w:r w:rsidR="00D46872" w:rsidRPr="0031568B">
        <w:rPr>
          <w:bCs/>
        </w:rPr>
        <w:t>CCF</w:t>
      </w:r>
      <w:r w:rsidR="00D46872" w:rsidRPr="00953798">
        <w:rPr>
          <w:bCs/>
        </w:rPr>
        <w:t xml:space="preserve"> </w:t>
      </w:r>
      <w:r w:rsidRPr="00953798">
        <w:rPr>
          <w:bCs/>
        </w:rPr>
        <w:t xml:space="preserve">work-streams where DH contracts are issued. Information storage must be consistent across all NIHR organisations, thus a cross-NIHR working group was set up in 2009 to agree information storage policies and procedures.  </w:t>
      </w:r>
    </w:p>
    <w:p w:rsidR="00D520D6" w:rsidRPr="003E7D59" w:rsidRDefault="00D520D6" w:rsidP="00BB24D4">
      <w:pPr>
        <w:pStyle w:val="BodyText"/>
        <w:numPr>
          <w:ilvl w:val="0"/>
          <w:numId w:val="15"/>
        </w:numPr>
        <w:spacing w:after="0"/>
        <w:rPr>
          <w:rFonts w:asciiTheme="minorHAnsi" w:hAnsiTheme="minorHAnsi"/>
          <w:b/>
          <w:bCs/>
          <w:sz w:val="28"/>
          <w:szCs w:val="28"/>
        </w:rPr>
      </w:pPr>
      <w:r w:rsidRPr="003E7D59">
        <w:rPr>
          <w:rFonts w:asciiTheme="minorHAnsi" w:hAnsiTheme="minorHAnsi"/>
          <w:b/>
          <w:bCs/>
          <w:sz w:val="28"/>
        </w:rPr>
        <w:t>Policy</w:t>
      </w:r>
    </w:p>
    <w:p w:rsidR="00D520D6" w:rsidRPr="00953798" w:rsidRDefault="00D520D6" w:rsidP="0031568B">
      <w:pPr>
        <w:autoSpaceDE w:val="0"/>
        <w:autoSpaceDN w:val="0"/>
        <w:adjustRightInd w:val="0"/>
        <w:spacing w:after="0"/>
        <w:jc w:val="both"/>
        <w:rPr>
          <w:bCs/>
        </w:rPr>
      </w:pPr>
      <w:r w:rsidRPr="00953798">
        <w:rPr>
          <w:bCs/>
        </w:rPr>
        <w:t>The DH is governed by the two Public Records Acts of 1958, amended in 1967 and 2000. These make it a legal requirement to:</w:t>
      </w:r>
    </w:p>
    <w:p w:rsidR="00D520D6" w:rsidRPr="00953798" w:rsidRDefault="00D520D6" w:rsidP="00BB24D4">
      <w:pPr>
        <w:pStyle w:val="BodyText"/>
        <w:numPr>
          <w:ilvl w:val="0"/>
          <w:numId w:val="7"/>
        </w:numPr>
        <w:spacing w:after="0"/>
        <w:jc w:val="both"/>
        <w:rPr>
          <w:rFonts w:asciiTheme="minorHAnsi" w:hAnsiTheme="minorHAnsi"/>
          <w:bCs/>
          <w:sz w:val="22"/>
          <w:szCs w:val="22"/>
        </w:rPr>
      </w:pPr>
      <w:r w:rsidRPr="00953798">
        <w:rPr>
          <w:rFonts w:asciiTheme="minorHAnsi" w:hAnsiTheme="minorHAnsi"/>
          <w:bCs/>
          <w:sz w:val="22"/>
          <w:szCs w:val="22"/>
        </w:rPr>
        <w:t>Identify and destroy any records that are of no further use;</w:t>
      </w:r>
    </w:p>
    <w:p w:rsidR="00D520D6" w:rsidRPr="00953798" w:rsidRDefault="00D520D6" w:rsidP="00BB24D4">
      <w:pPr>
        <w:pStyle w:val="BodyText"/>
        <w:numPr>
          <w:ilvl w:val="0"/>
          <w:numId w:val="7"/>
        </w:numPr>
        <w:spacing w:after="0"/>
        <w:jc w:val="both"/>
        <w:rPr>
          <w:rFonts w:asciiTheme="minorHAnsi" w:hAnsiTheme="minorHAnsi"/>
          <w:bCs/>
          <w:sz w:val="22"/>
          <w:szCs w:val="22"/>
        </w:rPr>
      </w:pPr>
      <w:r w:rsidRPr="00953798">
        <w:rPr>
          <w:rFonts w:asciiTheme="minorHAnsi" w:hAnsiTheme="minorHAnsi"/>
          <w:bCs/>
          <w:sz w:val="22"/>
          <w:szCs w:val="22"/>
        </w:rPr>
        <w:t>Identify and preserve any records that may be historically valuable; and</w:t>
      </w:r>
    </w:p>
    <w:p w:rsidR="00D520D6" w:rsidRPr="00953798" w:rsidRDefault="00D520D6" w:rsidP="00BB24D4">
      <w:pPr>
        <w:pStyle w:val="BodyText"/>
        <w:numPr>
          <w:ilvl w:val="0"/>
          <w:numId w:val="7"/>
        </w:numPr>
        <w:spacing w:after="0"/>
        <w:jc w:val="both"/>
        <w:rPr>
          <w:rFonts w:asciiTheme="minorHAnsi" w:hAnsiTheme="minorHAnsi"/>
          <w:bCs/>
          <w:sz w:val="22"/>
          <w:szCs w:val="22"/>
        </w:rPr>
      </w:pPr>
      <w:r w:rsidRPr="00953798">
        <w:rPr>
          <w:rFonts w:asciiTheme="minorHAnsi" w:hAnsiTheme="minorHAnsi"/>
          <w:bCs/>
          <w:sz w:val="22"/>
          <w:szCs w:val="22"/>
        </w:rPr>
        <w:t>Destroy unwanted papers as soon as possible.</w:t>
      </w:r>
    </w:p>
    <w:p w:rsidR="00D520D6" w:rsidRPr="00953798" w:rsidRDefault="00D520D6" w:rsidP="0031568B">
      <w:pPr>
        <w:autoSpaceDE w:val="0"/>
        <w:autoSpaceDN w:val="0"/>
        <w:adjustRightInd w:val="0"/>
        <w:jc w:val="both"/>
        <w:rPr>
          <w:bCs/>
        </w:rPr>
      </w:pPr>
      <w:r w:rsidRPr="00953798">
        <w:rPr>
          <w:bCs/>
        </w:rPr>
        <w:t>The Act defines all DH records as Public Records.</w:t>
      </w:r>
    </w:p>
    <w:p w:rsidR="00D520D6" w:rsidRPr="00953798" w:rsidRDefault="00D520D6" w:rsidP="00BB24D4">
      <w:pPr>
        <w:autoSpaceDE w:val="0"/>
        <w:autoSpaceDN w:val="0"/>
        <w:adjustRightInd w:val="0"/>
        <w:jc w:val="both"/>
        <w:rPr>
          <w:bCs/>
        </w:rPr>
      </w:pPr>
      <w:r w:rsidRPr="00953798">
        <w:rPr>
          <w:bCs/>
        </w:rPr>
        <w:t>The legislation underpinning the retention of records relating to contracts is the Limitation Act, 1980. Other relevant statutes include the Unfair Contract Terms Act, 1977; the Latent Damage Act, 1986; and the Consumer Protection Act, 1987.</w:t>
      </w:r>
    </w:p>
    <w:p w:rsidR="00D520D6" w:rsidRPr="003E7D59" w:rsidRDefault="00D520D6" w:rsidP="00BB24D4">
      <w:pPr>
        <w:autoSpaceDE w:val="0"/>
        <w:autoSpaceDN w:val="0"/>
        <w:adjustRightInd w:val="0"/>
        <w:jc w:val="both"/>
        <w:rPr>
          <w:color w:val="000000"/>
        </w:rPr>
      </w:pPr>
      <w:r w:rsidRPr="00953798">
        <w:rPr>
          <w:bCs/>
        </w:rPr>
        <w:t xml:space="preserve">The majority of records are held electronically. However, on behalf of DH, the PMG must ensure that a record of all wet-ink signatures on contracts and variations are kept on registered files. </w:t>
      </w:r>
      <w:r w:rsidRPr="00953798">
        <w:rPr>
          <w:color w:val="000000"/>
        </w:rPr>
        <w:t>Registered pink files containing contract records must be kept for 25 years from the end of the contract</w:t>
      </w:r>
      <w:r w:rsidRPr="003E7D59">
        <w:rPr>
          <w:color w:val="000000"/>
        </w:rPr>
        <w:t>.</w:t>
      </w:r>
    </w:p>
    <w:p w:rsidR="00D520D6" w:rsidRPr="003E7D59" w:rsidRDefault="00D520D6" w:rsidP="00BB24D4">
      <w:pPr>
        <w:pStyle w:val="BodyText"/>
        <w:numPr>
          <w:ilvl w:val="0"/>
          <w:numId w:val="15"/>
        </w:numPr>
        <w:spacing w:after="0"/>
        <w:rPr>
          <w:rFonts w:asciiTheme="minorHAnsi" w:hAnsiTheme="minorHAnsi"/>
          <w:b/>
          <w:bCs/>
          <w:sz w:val="28"/>
        </w:rPr>
      </w:pPr>
      <w:r w:rsidRPr="003E7D59">
        <w:rPr>
          <w:rFonts w:asciiTheme="minorHAnsi" w:hAnsiTheme="minorHAnsi"/>
          <w:b/>
          <w:bCs/>
          <w:sz w:val="28"/>
        </w:rPr>
        <w:t>Related Procedures</w:t>
      </w:r>
    </w:p>
    <w:p w:rsidR="00D520D6" w:rsidRPr="00953798" w:rsidRDefault="00D520D6" w:rsidP="00BB24D4">
      <w:pPr>
        <w:jc w:val="both"/>
        <w:rPr>
          <w:bCs/>
        </w:rPr>
      </w:pPr>
      <w:r w:rsidRPr="00953798">
        <w:rPr>
          <w:bCs/>
        </w:rPr>
        <w:t xml:space="preserve">This procedure relates to contracts and variations which must be retained in paper format. It does not relate to the majority of contract records which are retained in electronic format only, as described in SOP </w:t>
      </w:r>
      <w:r w:rsidR="00964BDB" w:rsidRPr="00953798">
        <w:rPr>
          <w:bCs/>
        </w:rPr>
        <w:t xml:space="preserve">3 </w:t>
      </w:r>
      <w:r w:rsidRPr="00953798">
        <w:t>Programme and Project Electronic Records Management</w:t>
      </w:r>
      <w:r w:rsidRPr="00953798">
        <w:rPr>
          <w:bCs/>
        </w:rPr>
        <w:t xml:space="preserve">. </w:t>
      </w:r>
    </w:p>
    <w:p w:rsidR="00D520D6" w:rsidRPr="003E7D59" w:rsidRDefault="00D520D6" w:rsidP="00BB24D4">
      <w:pPr>
        <w:pStyle w:val="BodyText"/>
        <w:numPr>
          <w:ilvl w:val="0"/>
          <w:numId w:val="15"/>
        </w:numPr>
        <w:spacing w:after="0"/>
        <w:rPr>
          <w:rFonts w:asciiTheme="minorHAnsi" w:hAnsiTheme="minorHAnsi"/>
          <w:b/>
          <w:bCs/>
          <w:sz w:val="28"/>
          <w:szCs w:val="28"/>
        </w:rPr>
      </w:pPr>
      <w:r w:rsidRPr="003E7D59">
        <w:rPr>
          <w:rFonts w:asciiTheme="minorHAnsi" w:hAnsiTheme="minorHAnsi"/>
          <w:b/>
          <w:bCs/>
          <w:sz w:val="28"/>
        </w:rPr>
        <w:t>Procedure</w:t>
      </w:r>
    </w:p>
    <w:p w:rsidR="0031568B" w:rsidRDefault="00D520D6" w:rsidP="00BB24D4">
      <w:pPr>
        <w:jc w:val="both"/>
        <w:outlineLvl w:val="0"/>
        <w:rPr>
          <w:b/>
        </w:rPr>
      </w:pPr>
      <w:r w:rsidRPr="003E7D59">
        <w:rPr>
          <w:b/>
        </w:rPr>
        <w:t xml:space="preserve">4.1. Assigning a Registered Number Prefix to a new file series </w:t>
      </w:r>
    </w:p>
    <w:p w:rsidR="00D520D6" w:rsidRPr="0031568B" w:rsidRDefault="00D520D6" w:rsidP="00BB24D4">
      <w:pPr>
        <w:jc w:val="both"/>
        <w:outlineLvl w:val="0"/>
        <w:rPr>
          <w:b/>
        </w:rPr>
      </w:pPr>
      <w:r w:rsidRPr="00953798">
        <w:t xml:space="preserve">The contract files for each programme or infrastructure type are identifiable by their registered number prefix in the format ABC followed by three digits, e.g. all files belonging to the RfPB Programme have the registered number prefix RNC followed by 032. </w:t>
      </w:r>
    </w:p>
    <w:p w:rsidR="00D520D6" w:rsidRPr="00953798" w:rsidRDefault="00D520D6" w:rsidP="00BB24D4">
      <w:pPr>
        <w:jc w:val="both"/>
      </w:pPr>
      <w:r w:rsidRPr="003E7D59">
        <w:rPr>
          <w:b/>
        </w:rPr>
        <w:t xml:space="preserve">4.1.1. </w:t>
      </w:r>
      <w:r w:rsidRPr="00953798">
        <w:rPr>
          <w:b/>
        </w:rPr>
        <w:t>NIHR and HICF:</w:t>
      </w:r>
      <w:r w:rsidRPr="00953798">
        <w:t xml:space="preserve"> If a Programme/infrastructure type does not have a registered number prefix, this is requested from a member of the Operations team, which holds the master </w:t>
      </w:r>
      <w:r w:rsidRPr="0031568B">
        <w:t>list.</w:t>
      </w:r>
      <w:r w:rsidRPr="00953798">
        <w:t xml:space="preserve"> The Operations team will notify Kathy Mann at DH when a new RNC has been assigned. </w:t>
      </w:r>
    </w:p>
    <w:p w:rsidR="00D520D6" w:rsidRPr="003E7D59" w:rsidRDefault="00D520D6" w:rsidP="00BB24D4">
      <w:pPr>
        <w:jc w:val="both"/>
        <w:outlineLvl w:val="0"/>
      </w:pPr>
      <w:r w:rsidRPr="003E7D59">
        <w:rPr>
          <w:b/>
        </w:rPr>
        <w:t>4.1.2 PRP:</w:t>
      </w:r>
      <w:r w:rsidRPr="003E7D59">
        <w:t xml:space="preserve"> The registered number prefix for PRP is RDD/. This is followed by a seven digit research and development subject code. The first of these three digits define the subject area and the second </w:t>
      </w:r>
      <w:r w:rsidRPr="003E7D59">
        <w:lastRenderedPageBreak/>
        <w:t xml:space="preserve">four digits define the number of a given </w:t>
      </w:r>
      <w:r w:rsidRPr="003E7D59">
        <w:rPr>
          <w:bCs/>
        </w:rPr>
        <w:t>contract</w:t>
      </w:r>
      <w:r w:rsidRPr="003E7D59">
        <w:t xml:space="preserve"> in this subject series. Each </w:t>
      </w:r>
      <w:r w:rsidRPr="003E7D59">
        <w:rPr>
          <w:bCs/>
        </w:rPr>
        <w:t>contract</w:t>
      </w:r>
      <w:r w:rsidRPr="003E7D59">
        <w:t xml:space="preserve"> requiring a pink file will be given the RNC and seven digit number by the PRP Office Manager at DH.</w:t>
      </w:r>
    </w:p>
    <w:p w:rsidR="00D520D6" w:rsidRPr="003E7D59" w:rsidRDefault="00D520D6" w:rsidP="00BB24D4">
      <w:pPr>
        <w:jc w:val="both"/>
        <w:rPr>
          <w:b/>
        </w:rPr>
      </w:pPr>
      <w:r w:rsidRPr="003E7D59">
        <w:rPr>
          <w:b/>
        </w:rPr>
        <w:t xml:space="preserve">4.2 Opening files for new </w:t>
      </w:r>
      <w:r w:rsidRPr="003E7D59">
        <w:rPr>
          <w:b/>
          <w:bCs/>
        </w:rPr>
        <w:t>contracts</w:t>
      </w:r>
      <w:r w:rsidRPr="003E7D59">
        <w:rPr>
          <w:b/>
        </w:rPr>
        <w:t>:</w:t>
      </w:r>
    </w:p>
    <w:p w:rsidR="00D520D6" w:rsidRPr="003E7D59" w:rsidRDefault="00D520D6" w:rsidP="00BB24D4">
      <w:pPr>
        <w:jc w:val="both"/>
      </w:pPr>
      <w:r w:rsidRPr="003E7D59">
        <w:t xml:space="preserve">4.2.1. Once the decision to fund a </w:t>
      </w:r>
      <w:r w:rsidRPr="003E7D59">
        <w:rPr>
          <w:bCs/>
        </w:rPr>
        <w:t>contract</w:t>
      </w:r>
      <w:r w:rsidRPr="003E7D59">
        <w:t xml:space="preserve"> has been ratified by DH, a pink file should be opened. The boxes on the front of the pink file are completed as illustrated using an RfPB project as the example: </w:t>
      </w:r>
    </w:p>
    <w:p w:rsidR="00D520D6" w:rsidRPr="003E7D59" w:rsidRDefault="00D520D6" w:rsidP="00BB24D4">
      <w:pPr>
        <w:jc w:val="both"/>
      </w:pPr>
      <w:r w:rsidRPr="003E7D59">
        <w:t xml:space="preserve">File number: RNC/032/480 </w:t>
      </w:r>
    </w:p>
    <w:p w:rsidR="00D520D6" w:rsidRPr="003E7D59" w:rsidRDefault="00D520D6" w:rsidP="00BB24D4">
      <w:pPr>
        <w:jc w:val="both"/>
      </w:pPr>
      <w:r w:rsidRPr="003E7D59">
        <w:t>Project ID: PB-PG-0711-25066 (PRP projects must include the project ID, where it exists)</w:t>
      </w:r>
    </w:p>
    <w:p w:rsidR="00D520D6" w:rsidRPr="003E7D59" w:rsidRDefault="00D520D6" w:rsidP="00BB24D4">
      <w:pPr>
        <w:jc w:val="both"/>
      </w:pPr>
      <w:r w:rsidRPr="003E7D59">
        <w:t>Project title: BRIDE (Barrett’s Randomised Intervention for Dysplasia by Endoscopy) - a feasibility study</w:t>
      </w:r>
    </w:p>
    <w:p w:rsidR="00D520D6" w:rsidRPr="003E7D59" w:rsidRDefault="00D520D6" w:rsidP="00BB24D4">
      <w:pPr>
        <w:jc w:val="both"/>
      </w:pPr>
      <w:r w:rsidRPr="003E7D59">
        <w:t>The department ID box is left blank. The date of the first paper filed is entered into the relevant box.</w:t>
      </w:r>
    </w:p>
    <w:p w:rsidR="00D520D6" w:rsidRPr="003E7D59" w:rsidRDefault="00D520D6" w:rsidP="00BB24D4">
      <w:pPr>
        <w:pStyle w:val="BodyText"/>
        <w:spacing w:after="0"/>
        <w:outlineLvl w:val="0"/>
        <w:rPr>
          <w:rFonts w:asciiTheme="minorHAnsi" w:hAnsiTheme="minorHAnsi"/>
          <w:b/>
        </w:rPr>
      </w:pPr>
      <w:r w:rsidRPr="003E7D59">
        <w:rPr>
          <w:rFonts w:asciiTheme="minorHAnsi" w:hAnsiTheme="minorHAnsi"/>
          <w:b/>
        </w:rPr>
        <w:t>4.2.2. Local file index</w:t>
      </w:r>
    </w:p>
    <w:p w:rsidR="00964BDB" w:rsidRPr="003E7D59" w:rsidRDefault="00D520D6" w:rsidP="00BB24D4">
      <w:pPr>
        <w:pStyle w:val="BodyText"/>
        <w:spacing w:after="0"/>
        <w:outlineLvl w:val="0"/>
        <w:rPr>
          <w:rFonts w:asciiTheme="minorHAnsi" w:hAnsiTheme="minorHAnsi"/>
          <w:bCs/>
        </w:rPr>
      </w:pPr>
      <w:r w:rsidRPr="003E7D59">
        <w:rPr>
          <w:rFonts w:asciiTheme="minorHAnsi" w:hAnsiTheme="minorHAnsi"/>
        </w:rPr>
        <w:t>A separate local file index must be maintained by each Programme. This local index should include the Programme registry number</w:t>
      </w:r>
      <w:r w:rsidR="00964BDB">
        <w:rPr>
          <w:rFonts w:asciiTheme="minorHAnsi" w:hAnsiTheme="minorHAnsi"/>
        </w:rPr>
        <w:t>.</w:t>
      </w:r>
    </w:p>
    <w:p w:rsidR="00D520D6" w:rsidRPr="003E7D59" w:rsidRDefault="00D520D6" w:rsidP="00BB24D4">
      <w:pPr>
        <w:pStyle w:val="BodyText"/>
        <w:spacing w:after="0"/>
        <w:rPr>
          <w:rFonts w:asciiTheme="minorHAnsi" w:hAnsiTheme="minorHAnsi"/>
          <w:bCs/>
        </w:rPr>
      </w:pPr>
    </w:p>
    <w:p w:rsidR="00D520D6" w:rsidRPr="003E7D59" w:rsidRDefault="00196A60" w:rsidP="00BB24D4">
      <w:pPr>
        <w:rPr>
          <w:bCs/>
        </w:rPr>
      </w:pPr>
      <w:r>
        <w:rPr>
          <w:bCs/>
          <w:noProof/>
        </w:rPr>
        <w:lastRenderedPageBreak/>
        <mc:AlternateContent>
          <mc:Choice Requires="wps">
            <w:drawing>
              <wp:anchor distT="0" distB="0" distL="114300" distR="114300" simplePos="0" relativeHeight="251663360" behindDoc="0" locked="0" layoutInCell="1" allowOverlap="1">
                <wp:simplePos x="0" y="0"/>
                <wp:positionH relativeFrom="column">
                  <wp:posOffset>2224405</wp:posOffset>
                </wp:positionH>
                <wp:positionV relativeFrom="paragraph">
                  <wp:posOffset>2089785</wp:posOffset>
                </wp:positionV>
                <wp:extent cx="367030" cy="27559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CC1" w:rsidRPr="00846E95" w:rsidRDefault="003A0CC1" w:rsidP="00D520D6">
                            <w:pPr>
                              <w:rPr>
                                <w:b/>
                              </w:rPr>
                            </w:pPr>
                            <w:r>
                              <w:rPr>
                                <w:b/>
                              </w:rPr>
                              <w:t>1</w:t>
                            </w:r>
                            <w:r w:rsidRPr="00846E95">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75.15pt;margin-top:164.55pt;width:28.9pt;height:2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" stroked="f">
                <v:textbox>
                  <w:txbxContent>
                    <w:p w:rsidR="003A0CC1" w:rsidRPr="00846E95" w:rsidRDefault="003A0CC1" w:rsidP="00D520D6">
                      <w:pPr>
                        <w:rPr>
                          <w:b/>
                        </w:rPr>
                      </w:pPr>
                      <w:r>
                        <w:rPr>
                          <w:b/>
                        </w:rPr>
                        <w:t>1</w:t>
                      </w:r>
                      <w:r w:rsidRPr="00846E95">
                        <w:rPr>
                          <w:b/>
                        </w:rPr>
                        <w:t xml:space="preserve"> </w:t>
                      </w:r>
                    </w:p>
                  </w:txbxContent>
                </v:textbox>
              </v:shape>
            </w:pict>
          </mc:Fallback>
        </mc:AlternateContent>
      </w:r>
      <w:r>
        <w:rPr>
          <w:bCs/>
          <w:noProof/>
        </w:rPr>
        <mc:AlternateContent>
          <mc:Choice Requires="wps">
            <w:drawing>
              <wp:anchor distT="0" distB="0" distL="114300" distR="114300" simplePos="0" relativeHeight="251662336" behindDoc="0" locked="0" layoutInCell="1" allowOverlap="1">
                <wp:simplePos x="0" y="0"/>
                <wp:positionH relativeFrom="column">
                  <wp:posOffset>1833880</wp:posOffset>
                </wp:positionH>
                <wp:positionV relativeFrom="paragraph">
                  <wp:posOffset>2423160</wp:posOffset>
                </wp:positionV>
                <wp:extent cx="3733165" cy="666750"/>
                <wp:effectExtent l="0" t="0" r="63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16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CC1" w:rsidRDefault="003A0CC1" w:rsidP="00D520D6">
                            <w:pPr>
                              <w:rPr>
                                <w:rFonts w:ascii="Arial" w:hAnsi="Arial" w:cs="Arial"/>
                                <w:b/>
                                <w:sz w:val="18"/>
                                <w:szCs w:val="18"/>
                              </w:rPr>
                            </w:pPr>
                            <w:r w:rsidRPr="0069703A">
                              <w:rPr>
                                <w:rFonts w:ascii="Arial" w:hAnsi="Arial" w:cs="Arial"/>
                                <w:b/>
                                <w:sz w:val="18"/>
                                <w:szCs w:val="18"/>
                              </w:rPr>
                              <w:t xml:space="preserve">PB-PG-0711-25066 </w:t>
                            </w:r>
                          </w:p>
                          <w:p w:rsidR="003A0CC1" w:rsidRPr="0069703A" w:rsidRDefault="003A0CC1" w:rsidP="00D520D6">
                            <w:pPr>
                              <w:rPr>
                                <w:rFonts w:ascii="Arial" w:hAnsi="Arial" w:cs="Arial"/>
                                <w:b/>
                                <w:sz w:val="18"/>
                                <w:szCs w:val="18"/>
                              </w:rPr>
                            </w:pPr>
                            <w:r w:rsidRPr="0069703A">
                              <w:rPr>
                                <w:rFonts w:ascii="Arial" w:hAnsi="Arial" w:cs="Arial"/>
                                <w:b/>
                                <w:color w:val="000000"/>
                                <w:sz w:val="18"/>
                                <w:szCs w:val="18"/>
                              </w:rPr>
                              <w:t>BRIDE (Barrett’s Randomised Intervention for Dysplasia by Endoscopy) - a feasibility study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44.4pt;margin-top:190.8pt;width:293.9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" stroked="f">
                <v:textbox>
                  <w:txbxContent>
                    <w:p w:rsidR="003A0CC1" w:rsidRDefault="003A0CC1" w:rsidP="00D520D6">
                      <w:pPr>
                        <w:rPr>
                          <w:rFonts w:ascii="Arial" w:hAnsi="Arial" w:cs="Arial"/>
                          <w:b/>
                          <w:sz w:val="18"/>
                          <w:szCs w:val="18"/>
                        </w:rPr>
                      </w:pPr>
                      <w:r w:rsidRPr="0069703A">
                        <w:rPr>
                          <w:rFonts w:ascii="Arial" w:hAnsi="Arial" w:cs="Arial"/>
                          <w:b/>
                          <w:sz w:val="18"/>
                          <w:szCs w:val="18"/>
                        </w:rPr>
                        <w:t xml:space="preserve">PB-PG-0711-25066 </w:t>
                      </w:r>
                    </w:p>
                    <w:p w:rsidR="003A0CC1" w:rsidRPr="0069703A" w:rsidRDefault="003A0CC1" w:rsidP="00D520D6">
                      <w:pPr>
                        <w:rPr>
                          <w:rFonts w:ascii="Arial" w:hAnsi="Arial" w:cs="Arial"/>
                          <w:b/>
                          <w:sz w:val="18"/>
                          <w:szCs w:val="18"/>
                        </w:rPr>
                      </w:pPr>
                      <w:r w:rsidRPr="0069703A">
                        <w:rPr>
                          <w:rFonts w:ascii="Arial" w:hAnsi="Arial" w:cs="Arial"/>
                          <w:b/>
                          <w:color w:val="000000"/>
                          <w:sz w:val="18"/>
                          <w:szCs w:val="18"/>
                        </w:rPr>
                        <w:t>BRIDE (Barrett’s Randomised Intervention for Dysplasia by Endoscopy) - a feasibility study</w:t>
                      </w:r>
                    </w:p>
                  </w:txbxContent>
                </v:textbox>
              </v:shape>
            </w:pict>
          </mc:Fallback>
        </mc:AlternateContent>
      </w:r>
      <w:r>
        <w:rPr>
          <w:bCs/>
          <w:noProof/>
        </w:rPr>
        <mc:AlternateContent>
          <mc:Choice Requires="wps">
            <w:drawing>
              <wp:anchor distT="0" distB="0" distL="114300" distR="114300" simplePos="0" relativeHeight="251661312" behindDoc="0" locked="0" layoutInCell="1" allowOverlap="1">
                <wp:simplePos x="0" y="0"/>
                <wp:positionH relativeFrom="column">
                  <wp:posOffset>2072005</wp:posOffset>
                </wp:positionH>
                <wp:positionV relativeFrom="paragraph">
                  <wp:posOffset>1765935</wp:posOffset>
                </wp:positionV>
                <wp:extent cx="3456940" cy="25654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6940"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CC1" w:rsidRDefault="003A0CC1" w:rsidP="00D520D6">
                            <w:r w:rsidRPr="00846E95">
                              <w:rPr>
                                <w:b/>
                              </w:rPr>
                              <w:t>032/480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163.15pt;margin-top:139.05pt;width:272.2pt;height:2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" stroked="f">
                <v:textbox>
                  <w:txbxContent>
                    <w:p w:rsidR="003A0CC1" w:rsidRDefault="003A0CC1" w:rsidP="00D520D6">
                      <w:r w:rsidRPr="00846E95">
                        <w:rPr>
                          <w:b/>
                        </w:rPr>
                        <w:t>032/480</w:t>
                      </w:r>
                    </w:p>
                  </w:txbxContent>
                </v:textbox>
              </v:shape>
            </w:pict>
          </mc:Fallback>
        </mc:AlternateContent>
      </w:r>
      <w:r>
        <w:rPr>
          <w:bCs/>
          <w:noProof/>
        </w:rPr>
        <mc:AlternateContent>
          <mc:Choice Requires="wps">
            <w:drawing>
              <wp:anchor distT="0" distB="0" distL="114300" distR="114300" simplePos="0" relativeHeight="251660288" behindDoc="0" locked="0" layoutInCell="1" allowOverlap="1">
                <wp:simplePos x="0" y="0"/>
                <wp:positionH relativeFrom="column">
                  <wp:posOffset>2072005</wp:posOffset>
                </wp:positionH>
                <wp:positionV relativeFrom="paragraph">
                  <wp:posOffset>1432560</wp:posOffset>
                </wp:positionV>
                <wp:extent cx="1976755" cy="275590"/>
                <wp:effectExtent l="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CC1" w:rsidRPr="00846E95" w:rsidRDefault="003A0CC1" w:rsidP="00D520D6">
                            <w:pPr>
                              <w:rPr>
                                <w:b/>
                              </w:rPr>
                            </w:pPr>
                            <w:r w:rsidRPr="00846E95">
                              <w:rPr>
                                <w:b/>
                              </w:rPr>
                              <w:t xml:space="preserve">RNC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163.15pt;margin-top:112.8pt;width:155.65pt;height:2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" stroked="f">
                <v:textbox>
                  <w:txbxContent>
                    <w:p w:rsidR="003A0CC1" w:rsidRPr="00846E95" w:rsidRDefault="003A0CC1" w:rsidP="00D520D6">
                      <w:pPr>
                        <w:rPr>
                          <w:b/>
                        </w:rPr>
                      </w:pPr>
                      <w:r w:rsidRPr="00846E95">
                        <w:rPr>
                          <w:b/>
                        </w:rPr>
                        <w:t xml:space="preserve">RNC </w:t>
                      </w:r>
                    </w:p>
                  </w:txbxContent>
                </v:textbox>
              </v:shape>
            </w:pict>
          </mc:Fallback>
        </mc:AlternateContent>
      </w:r>
      <w:r w:rsidR="00D520D6" w:rsidRPr="003E7D59">
        <w:rPr>
          <w:bCs/>
          <w:noProof/>
        </w:rPr>
        <w:drawing>
          <wp:inline distT="0" distB="0" distL="0" distR="0">
            <wp:extent cx="5939790" cy="7842416"/>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939790" cy="7842416"/>
                    </a:xfrm>
                    <a:prstGeom prst="rect">
                      <a:avLst/>
                    </a:prstGeom>
                    <a:noFill/>
                    <a:ln w="9525">
                      <a:noFill/>
                      <a:miter lim="800000"/>
                      <a:headEnd/>
                      <a:tailEnd/>
                    </a:ln>
                  </pic:spPr>
                </pic:pic>
              </a:graphicData>
            </a:graphic>
          </wp:inline>
        </w:drawing>
      </w:r>
      <w:r w:rsidR="00D520D6" w:rsidRPr="003E7D59">
        <w:rPr>
          <w:bCs/>
        </w:rPr>
        <w:br w:type="page"/>
      </w: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lastRenderedPageBreak/>
        <w:t>4.3 Documents to file:</w:t>
      </w:r>
    </w:p>
    <w:p w:rsidR="00D520D6" w:rsidRPr="00953798" w:rsidRDefault="00D520D6"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The following documents </w:t>
      </w:r>
      <w:r w:rsidRPr="00953798">
        <w:rPr>
          <w:rFonts w:asciiTheme="minorHAnsi" w:hAnsiTheme="minorHAnsi"/>
          <w:b/>
          <w:bCs/>
          <w:sz w:val="22"/>
          <w:szCs w:val="22"/>
        </w:rPr>
        <w:t>must</w:t>
      </w:r>
      <w:r w:rsidRPr="00953798">
        <w:rPr>
          <w:rFonts w:asciiTheme="minorHAnsi" w:hAnsiTheme="minorHAnsi"/>
          <w:bCs/>
          <w:sz w:val="22"/>
          <w:szCs w:val="22"/>
        </w:rPr>
        <w:t xml:space="preserve"> be filed for each contract:</w:t>
      </w:r>
    </w:p>
    <w:p w:rsidR="00D520D6" w:rsidRPr="00953798" w:rsidRDefault="00D520D6" w:rsidP="00BB24D4">
      <w:pPr>
        <w:pStyle w:val="BodyText"/>
        <w:numPr>
          <w:ilvl w:val="0"/>
          <w:numId w:val="6"/>
        </w:numPr>
        <w:spacing w:after="0"/>
        <w:ind w:left="714" w:hanging="357"/>
        <w:jc w:val="both"/>
        <w:rPr>
          <w:rFonts w:asciiTheme="minorHAnsi" w:hAnsiTheme="minorHAnsi"/>
          <w:bCs/>
          <w:sz w:val="22"/>
          <w:szCs w:val="22"/>
        </w:rPr>
      </w:pPr>
      <w:r w:rsidRPr="00953798">
        <w:rPr>
          <w:rFonts w:asciiTheme="minorHAnsi" w:hAnsiTheme="minorHAnsi"/>
          <w:bCs/>
          <w:sz w:val="22"/>
          <w:szCs w:val="22"/>
        </w:rPr>
        <w:t>The completed contract signed by the relevant authority from the contracting institution and DH</w:t>
      </w:r>
    </w:p>
    <w:p w:rsidR="00D520D6" w:rsidRPr="00953798" w:rsidRDefault="00D520D6" w:rsidP="00BB24D4">
      <w:pPr>
        <w:pStyle w:val="BodyText"/>
        <w:numPr>
          <w:ilvl w:val="0"/>
          <w:numId w:val="6"/>
        </w:numPr>
        <w:spacing w:after="0"/>
        <w:ind w:left="714" w:hanging="357"/>
        <w:jc w:val="both"/>
        <w:rPr>
          <w:rFonts w:asciiTheme="minorHAnsi" w:hAnsiTheme="minorHAnsi"/>
          <w:bCs/>
          <w:sz w:val="22"/>
          <w:szCs w:val="22"/>
        </w:rPr>
      </w:pPr>
      <w:r w:rsidRPr="00953798">
        <w:rPr>
          <w:rFonts w:asciiTheme="minorHAnsi" w:hAnsiTheme="minorHAnsi"/>
          <w:bCs/>
          <w:sz w:val="22"/>
          <w:szCs w:val="22"/>
        </w:rPr>
        <w:t>Any completed variations to contract signed by the relevant authority from the contracting institution and DH</w:t>
      </w:r>
    </w:p>
    <w:p w:rsidR="00D520D6" w:rsidRPr="00953798" w:rsidRDefault="00D520D6" w:rsidP="00BB24D4">
      <w:pPr>
        <w:pStyle w:val="BodyText"/>
        <w:numPr>
          <w:ilvl w:val="0"/>
          <w:numId w:val="6"/>
        </w:numPr>
        <w:spacing w:after="0"/>
        <w:ind w:left="714" w:hanging="357"/>
        <w:jc w:val="both"/>
        <w:rPr>
          <w:rFonts w:asciiTheme="minorHAnsi" w:hAnsiTheme="minorHAnsi"/>
          <w:bCs/>
          <w:sz w:val="22"/>
          <w:szCs w:val="22"/>
        </w:rPr>
      </w:pPr>
      <w:r w:rsidRPr="00953798">
        <w:rPr>
          <w:rFonts w:asciiTheme="minorHAnsi" w:hAnsiTheme="minorHAnsi"/>
          <w:bCs/>
          <w:sz w:val="22"/>
          <w:szCs w:val="22"/>
        </w:rPr>
        <w:t>Any deeds of novation relating to the contract</w:t>
      </w:r>
    </w:p>
    <w:p w:rsidR="00D520D6" w:rsidRPr="00953798" w:rsidRDefault="00D520D6" w:rsidP="00BB24D4">
      <w:pPr>
        <w:pStyle w:val="BodyText"/>
        <w:numPr>
          <w:ilvl w:val="0"/>
          <w:numId w:val="6"/>
        </w:numPr>
        <w:spacing w:after="0"/>
        <w:ind w:left="714" w:hanging="357"/>
        <w:jc w:val="both"/>
        <w:rPr>
          <w:rFonts w:asciiTheme="minorHAnsi" w:hAnsiTheme="minorHAnsi"/>
          <w:bCs/>
          <w:sz w:val="22"/>
          <w:szCs w:val="22"/>
        </w:rPr>
      </w:pPr>
      <w:r w:rsidRPr="00953798">
        <w:rPr>
          <w:rFonts w:asciiTheme="minorHAnsi" w:hAnsiTheme="minorHAnsi"/>
          <w:bCs/>
          <w:sz w:val="22"/>
          <w:szCs w:val="22"/>
        </w:rPr>
        <w:t>For section 3 of the contract, the following sections from the standard application form, where it is used:</w:t>
      </w:r>
    </w:p>
    <w:p w:rsidR="00D520D6" w:rsidRPr="00953798" w:rsidRDefault="00D520D6" w:rsidP="00BB24D4">
      <w:pPr>
        <w:spacing w:after="0"/>
        <w:ind w:left="1080"/>
        <w:jc w:val="both"/>
      </w:pPr>
      <w:r w:rsidRPr="00953798">
        <w:t xml:space="preserve">1 </w:t>
      </w:r>
      <w:r w:rsidRPr="00953798">
        <w:tab/>
        <w:t>Research details</w:t>
      </w:r>
    </w:p>
    <w:p w:rsidR="00D520D6" w:rsidRPr="00953798" w:rsidRDefault="00D520D6" w:rsidP="00BB24D4">
      <w:pPr>
        <w:spacing w:after="0"/>
        <w:ind w:left="1080"/>
        <w:jc w:val="both"/>
      </w:pPr>
      <w:r w:rsidRPr="00953798">
        <w:t xml:space="preserve">2 </w:t>
      </w:r>
      <w:r w:rsidRPr="00953798">
        <w:tab/>
        <w:t xml:space="preserve">Lead Applicant details </w:t>
      </w:r>
    </w:p>
    <w:p w:rsidR="00D520D6" w:rsidRPr="00953798" w:rsidRDefault="00D520D6" w:rsidP="00BB24D4">
      <w:pPr>
        <w:spacing w:after="0"/>
        <w:ind w:left="1080"/>
        <w:jc w:val="both"/>
      </w:pPr>
      <w:r w:rsidRPr="00953798">
        <w:t xml:space="preserve">4 </w:t>
      </w:r>
      <w:r w:rsidRPr="00953798">
        <w:tab/>
        <w:t>Joint Lead Applicant(s) – if completed</w:t>
      </w:r>
    </w:p>
    <w:p w:rsidR="00D520D6" w:rsidRPr="00953798" w:rsidRDefault="00D520D6" w:rsidP="00BB24D4">
      <w:pPr>
        <w:spacing w:after="0"/>
        <w:ind w:left="1080"/>
        <w:jc w:val="both"/>
      </w:pPr>
      <w:r w:rsidRPr="00953798">
        <w:t xml:space="preserve">8 </w:t>
      </w:r>
      <w:r w:rsidRPr="00953798">
        <w:tab/>
        <w:t>Patient &amp; Public Involvement</w:t>
      </w:r>
    </w:p>
    <w:p w:rsidR="00D520D6" w:rsidRPr="00953798" w:rsidRDefault="00D520D6" w:rsidP="00BB24D4">
      <w:pPr>
        <w:spacing w:after="0"/>
        <w:ind w:left="1080"/>
        <w:jc w:val="both"/>
      </w:pPr>
      <w:r w:rsidRPr="00953798">
        <w:t xml:space="preserve">9 </w:t>
      </w:r>
      <w:r w:rsidRPr="00953798">
        <w:tab/>
        <w:t>Case for Support – part 1</w:t>
      </w:r>
    </w:p>
    <w:p w:rsidR="00D520D6" w:rsidRPr="00953798" w:rsidRDefault="00D520D6" w:rsidP="00BB24D4">
      <w:pPr>
        <w:spacing w:after="0"/>
        <w:ind w:left="1080"/>
        <w:jc w:val="both"/>
      </w:pPr>
      <w:r w:rsidRPr="00953798">
        <w:t xml:space="preserve">10 </w:t>
      </w:r>
      <w:r w:rsidRPr="00953798">
        <w:tab/>
        <w:t>Case for Support – part 2 – this section may contain the Gantt chart</w:t>
      </w:r>
    </w:p>
    <w:p w:rsidR="00D520D6" w:rsidRPr="00953798" w:rsidRDefault="00D520D6" w:rsidP="00BB24D4">
      <w:pPr>
        <w:spacing w:after="0"/>
        <w:ind w:left="1080"/>
        <w:jc w:val="both"/>
      </w:pPr>
      <w:r w:rsidRPr="00953798">
        <w:t xml:space="preserve">11 </w:t>
      </w:r>
      <w:r w:rsidRPr="00953798">
        <w:tab/>
        <w:t>Case for Support – part 3</w:t>
      </w:r>
    </w:p>
    <w:p w:rsidR="00D520D6" w:rsidRPr="00953798" w:rsidRDefault="00D520D6" w:rsidP="00BB24D4">
      <w:pPr>
        <w:spacing w:after="0"/>
        <w:ind w:left="1080"/>
        <w:jc w:val="both"/>
      </w:pPr>
      <w:r w:rsidRPr="00953798">
        <w:t xml:space="preserve">12 </w:t>
      </w:r>
      <w:r w:rsidRPr="00953798">
        <w:tab/>
        <w:t>Management &amp; Governance (* not consistently available across programmes)</w:t>
      </w:r>
    </w:p>
    <w:p w:rsidR="00D520D6" w:rsidRPr="00953798" w:rsidRDefault="00D520D6" w:rsidP="00BB24D4">
      <w:pPr>
        <w:spacing w:after="0"/>
        <w:ind w:left="1080"/>
        <w:jc w:val="both"/>
      </w:pPr>
      <w:r w:rsidRPr="00953798">
        <w:t xml:space="preserve">13 </w:t>
      </w:r>
      <w:r w:rsidRPr="00953798">
        <w:tab/>
        <w:t>Intellectual property &amp; Innovation</w:t>
      </w:r>
    </w:p>
    <w:p w:rsidR="00D520D6" w:rsidRPr="00953798" w:rsidRDefault="00D520D6" w:rsidP="00BB24D4">
      <w:pPr>
        <w:spacing w:after="0"/>
        <w:ind w:left="1440" w:hanging="360"/>
        <w:jc w:val="both"/>
      </w:pPr>
      <w:r w:rsidRPr="00953798">
        <w:t xml:space="preserve">14 </w:t>
      </w:r>
      <w:r w:rsidRPr="00953798">
        <w:tab/>
        <w:t>Involvement with NIHR Infrastructure (* not consistently available across programmes)</w:t>
      </w:r>
    </w:p>
    <w:p w:rsidR="00D520D6" w:rsidRPr="00953798" w:rsidRDefault="00D520D6" w:rsidP="00BB24D4">
      <w:pPr>
        <w:spacing w:after="0"/>
        <w:ind w:left="1080"/>
        <w:jc w:val="both"/>
      </w:pPr>
      <w:r w:rsidRPr="00953798">
        <w:t xml:space="preserve">15 </w:t>
      </w:r>
      <w:r w:rsidRPr="00953798">
        <w:tab/>
        <w:t>Finances</w:t>
      </w:r>
    </w:p>
    <w:p w:rsidR="00D520D6" w:rsidRPr="00953798" w:rsidRDefault="00D520D6" w:rsidP="00BB24D4">
      <w:pPr>
        <w:spacing w:after="0"/>
        <w:ind w:left="1080"/>
        <w:jc w:val="both"/>
      </w:pPr>
      <w:r w:rsidRPr="00953798">
        <w:t xml:space="preserve">17 </w:t>
      </w:r>
      <w:r w:rsidRPr="00953798">
        <w:tab/>
        <w:t>Supporting documentation – Gantt chart only, if not submitted in Section 10</w:t>
      </w:r>
    </w:p>
    <w:p w:rsidR="00D520D6" w:rsidRPr="00953798" w:rsidRDefault="00D520D6" w:rsidP="00BB24D4">
      <w:pPr>
        <w:spacing w:after="0"/>
        <w:ind w:left="1418" w:hanging="338"/>
        <w:jc w:val="both"/>
      </w:pPr>
      <w:r w:rsidRPr="00953798">
        <w:t xml:space="preserve">18 </w:t>
      </w:r>
      <w:r w:rsidRPr="00953798">
        <w:tab/>
        <w:t xml:space="preserve">Original, wet ink completed declaration and signatures page. In the absence of secure electronic signature, wet ink signatures are required for section 3 of the contract. </w:t>
      </w:r>
    </w:p>
    <w:p w:rsidR="00D520D6" w:rsidRPr="00953798" w:rsidRDefault="00D520D6" w:rsidP="00BB24D4">
      <w:pPr>
        <w:ind w:left="709"/>
        <w:jc w:val="both"/>
      </w:pPr>
      <w:r w:rsidRPr="00953798">
        <w:t>This is a list of the minimum requirement for section 3; other sections can be included at the Programme Manager’s discretion.</w:t>
      </w:r>
    </w:p>
    <w:p w:rsidR="00D520D6" w:rsidRPr="00953798" w:rsidRDefault="00D520D6" w:rsidP="00BB24D4">
      <w:pPr>
        <w:pStyle w:val="BodyText"/>
        <w:numPr>
          <w:ilvl w:val="0"/>
          <w:numId w:val="6"/>
        </w:numPr>
        <w:spacing w:after="0"/>
        <w:ind w:left="714" w:hanging="357"/>
        <w:jc w:val="both"/>
        <w:rPr>
          <w:rFonts w:asciiTheme="minorHAnsi" w:hAnsiTheme="minorHAnsi"/>
          <w:bCs/>
          <w:sz w:val="22"/>
          <w:szCs w:val="22"/>
        </w:rPr>
      </w:pPr>
      <w:r w:rsidRPr="00953798">
        <w:rPr>
          <w:rFonts w:asciiTheme="minorHAnsi" w:hAnsiTheme="minorHAnsi"/>
          <w:bCs/>
          <w:sz w:val="22"/>
          <w:szCs w:val="22"/>
        </w:rPr>
        <w:t>Where the standard application form is not used (for infrastructure, RDS and Research Schools), for section 3 of the contract the equivalent sections from the form used must be filed.</w:t>
      </w:r>
    </w:p>
    <w:p w:rsidR="00D520D6" w:rsidRPr="00953798" w:rsidRDefault="00D520D6" w:rsidP="00BB24D4">
      <w:pPr>
        <w:pStyle w:val="BodyText"/>
        <w:numPr>
          <w:ilvl w:val="0"/>
          <w:numId w:val="6"/>
        </w:numPr>
        <w:spacing w:after="0"/>
        <w:ind w:left="714" w:hanging="357"/>
        <w:jc w:val="both"/>
        <w:rPr>
          <w:rFonts w:asciiTheme="minorHAnsi" w:hAnsiTheme="minorHAnsi"/>
          <w:bCs/>
          <w:strike/>
          <w:sz w:val="22"/>
          <w:szCs w:val="22"/>
        </w:rPr>
      </w:pPr>
      <w:r w:rsidRPr="00953798">
        <w:rPr>
          <w:rFonts w:asciiTheme="minorHAnsi" w:hAnsiTheme="minorHAnsi"/>
          <w:bCs/>
          <w:sz w:val="22"/>
          <w:szCs w:val="22"/>
        </w:rPr>
        <w:t xml:space="preserve">Original, wet-ink signed statements of expenditure forms (ASTOX and FSTOX). </w:t>
      </w:r>
    </w:p>
    <w:p w:rsidR="00D520D6" w:rsidRPr="00953798" w:rsidRDefault="00D520D6" w:rsidP="00BB24D4">
      <w:pPr>
        <w:pStyle w:val="BodyText"/>
        <w:numPr>
          <w:ilvl w:val="0"/>
          <w:numId w:val="6"/>
        </w:numPr>
        <w:spacing w:after="0"/>
        <w:ind w:left="714" w:hanging="357"/>
        <w:jc w:val="both"/>
        <w:rPr>
          <w:rFonts w:asciiTheme="minorHAnsi" w:hAnsiTheme="minorHAnsi"/>
          <w:bCs/>
          <w:strike/>
          <w:sz w:val="22"/>
          <w:szCs w:val="22"/>
        </w:rPr>
      </w:pPr>
      <w:r w:rsidRPr="00953798">
        <w:rPr>
          <w:rFonts w:asciiTheme="minorHAnsi" w:hAnsiTheme="minorHAnsi"/>
          <w:bCs/>
          <w:sz w:val="22"/>
          <w:szCs w:val="22"/>
        </w:rPr>
        <w:t>Other original, wet-ink signed papers may also be filed, if there are local requirements.</w:t>
      </w:r>
    </w:p>
    <w:p w:rsidR="00953798" w:rsidRPr="00953798" w:rsidRDefault="00953798" w:rsidP="00BB24D4">
      <w:pPr>
        <w:pStyle w:val="BodyText"/>
        <w:spacing w:after="0"/>
        <w:ind w:left="357"/>
        <w:jc w:val="both"/>
        <w:rPr>
          <w:rFonts w:asciiTheme="minorHAnsi" w:hAnsiTheme="minorHAnsi"/>
          <w:bCs/>
          <w:strike/>
          <w:sz w:val="22"/>
          <w:szCs w:val="22"/>
        </w:rPr>
      </w:pPr>
    </w:p>
    <w:p w:rsidR="00D520D6" w:rsidRPr="00953798" w:rsidRDefault="00D520D6"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Filing and retention of all other contract records is covered by SOP </w:t>
      </w:r>
      <w:r w:rsidR="00964BDB" w:rsidRPr="00953798">
        <w:rPr>
          <w:rFonts w:asciiTheme="minorHAnsi" w:hAnsiTheme="minorHAnsi"/>
          <w:bCs/>
          <w:sz w:val="22"/>
          <w:szCs w:val="22"/>
        </w:rPr>
        <w:t xml:space="preserve">3 </w:t>
      </w:r>
      <w:r w:rsidRPr="00953798">
        <w:rPr>
          <w:rFonts w:asciiTheme="minorHAnsi" w:hAnsiTheme="minorHAnsi"/>
          <w:bCs/>
          <w:sz w:val="22"/>
          <w:szCs w:val="22"/>
        </w:rPr>
        <w:t>Project and programme electronic records.</w:t>
      </w:r>
    </w:p>
    <w:p w:rsidR="00D520D6" w:rsidRPr="00953798" w:rsidRDefault="00D520D6" w:rsidP="00BB24D4">
      <w:pPr>
        <w:pStyle w:val="BodyText"/>
        <w:spacing w:after="0"/>
        <w:rPr>
          <w:rFonts w:asciiTheme="minorHAnsi" w:hAnsiTheme="minorHAnsi"/>
          <w:bCs/>
          <w:sz w:val="22"/>
          <w:szCs w:val="22"/>
        </w:rPr>
      </w:pP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4.4 File audits by external parties:</w:t>
      </w:r>
    </w:p>
    <w:p w:rsidR="00D520D6" w:rsidRPr="00953798" w:rsidRDefault="00D520D6" w:rsidP="00BB24D4">
      <w:pPr>
        <w:pStyle w:val="BodyText"/>
        <w:spacing w:after="0"/>
        <w:outlineLvl w:val="0"/>
        <w:rPr>
          <w:rFonts w:asciiTheme="minorHAnsi" w:hAnsiTheme="minorHAnsi"/>
          <w:bCs/>
          <w:sz w:val="22"/>
          <w:szCs w:val="22"/>
        </w:rPr>
      </w:pPr>
      <w:r w:rsidRPr="00953798">
        <w:rPr>
          <w:rFonts w:asciiTheme="minorHAnsi" w:hAnsiTheme="minorHAnsi"/>
          <w:bCs/>
          <w:sz w:val="22"/>
          <w:szCs w:val="22"/>
        </w:rPr>
        <w:t>DH pink files are important official records and may be audited by the National Audit Office or their appointed representative. They may also be inspected during ISO9001 audits.</w:t>
      </w:r>
    </w:p>
    <w:p w:rsidR="00D520D6" w:rsidRPr="003E7D59" w:rsidRDefault="00D520D6" w:rsidP="00BB24D4">
      <w:pPr>
        <w:pStyle w:val="BodyText"/>
        <w:spacing w:after="0"/>
        <w:outlineLvl w:val="0"/>
        <w:rPr>
          <w:rFonts w:asciiTheme="minorHAnsi" w:hAnsiTheme="minorHAnsi"/>
          <w:b/>
          <w:bCs/>
        </w:rPr>
      </w:pP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4.5 Closing pink files:</w:t>
      </w:r>
    </w:p>
    <w:p w:rsidR="00D520D6" w:rsidRPr="00953798" w:rsidRDefault="00D520D6" w:rsidP="00BB24D4">
      <w:pPr>
        <w:pStyle w:val="BodyText"/>
        <w:spacing w:after="0"/>
        <w:rPr>
          <w:rFonts w:asciiTheme="minorHAnsi" w:hAnsiTheme="minorHAnsi"/>
          <w:bCs/>
          <w:sz w:val="22"/>
          <w:szCs w:val="22"/>
        </w:rPr>
      </w:pPr>
      <w:r w:rsidRPr="00953798">
        <w:rPr>
          <w:rFonts w:asciiTheme="minorHAnsi" w:hAnsiTheme="minorHAnsi"/>
          <w:bCs/>
          <w:sz w:val="22"/>
          <w:szCs w:val="22"/>
        </w:rPr>
        <w:t>Files should be closed when either of the following apply:</w:t>
      </w:r>
    </w:p>
    <w:p w:rsidR="00D520D6" w:rsidRPr="00953798" w:rsidRDefault="00D520D6" w:rsidP="00BB24D4">
      <w:pPr>
        <w:pStyle w:val="BodyText"/>
        <w:numPr>
          <w:ilvl w:val="0"/>
          <w:numId w:val="14"/>
        </w:numPr>
        <w:spacing w:after="0"/>
        <w:rPr>
          <w:rFonts w:asciiTheme="minorHAnsi" w:hAnsiTheme="minorHAnsi"/>
          <w:bCs/>
          <w:sz w:val="22"/>
          <w:szCs w:val="22"/>
        </w:rPr>
      </w:pPr>
      <w:r w:rsidRPr="00953798">
        <w:rPr>
          <w:rFonts w:asciiTheme="minorHAnsi" w:hAnsiTheme="minorHAnsi"/>
          <w:bCs/>
          <w:sz w:val="22"/>
          <w:szCs w:val="22"/>
        </w:rPr>
        <w:t>They reach 3cm thick. At this point a new volume should be opened (see below).</w:t>
      </w:r>
    </w:p>
    <w:p w:rsidR="00D520D6" w:rsidRPr="00953798" w:rsidRDefault="00D520D6" w:rsidP="00BB24D4">
      <w:pPr>
        <w:pStyle w:val="BodyText"/>
        <w:numPr>
          <w:ilvl w:val="0"/>
          <w:numId w:val="14"/>
        </w:numPr>
        <w:spacing w:after="0"/>
        <w:rPr>
          <w:rFonts w:asciiTheme="minorHAnsi" w:hAnsiTheme="minorHAnsi"/>
          <w:bCs/>
          <w:sz w:val="22"/>
          <w:szCs w:val="22"/>
        </w:rPr>
      </w:pPr>
      <w:r w:rsidRPr="00953798">
        <w:rPr>
          <w:rFonts w:asciiTheme="minorHAnsi" w:hAnsiTheme="minorHAnsi"/>
          <w:bCs/>
          <w:sz w:val="22"/>
          <w:szCs w:val="22"/>
        </w:rPr>
        <w:t>Next two bullets removed after discussion with Kathy Mann</w:t>
      </w:r>
    </w:p>
    <w:p w:rsidR="00D520D6" w:rsidRPr="00953798" w:rsidRDefault="00D520D6" w:rsidP="00BB24D4">
      <w:pPr>
        <w:pStyle w:val="BodyText"/>
        <w:numPr>
          <w:ilvl w:val="0"/>
          <w:numId w:val="14"/>
        </w:numPr>
        <w:spacing w:after="0"/>
        <w:rPr>
          <w:rFonts w:asciiTheme="minorHAnsi" w:hAnsiTheme="minorHAnsi"/>
          <w:bCs/>
          <w:sz w:val="22"/>
          <w:szCs w:val="22"/>
        </w:rPr>
      </w:pPr>
      <w:r w:rsidRPr="00953798">
        <w:rPr>
          <w:rFonts w:asciiTheme="minorHAnsi" w:hAnsiTheme="minorHAnsi"/>
          <w:bCs/>
          <w:sz w:val="22"/>
          <w:szCs w:val="22"/>
        </w:rPr>
        <w:t>The final payment of the contract has been made (this marks the end of the contract).</w:t>
      </w:r>
    </w:p>
    <w:p w:rsidR="00D520D6" w:rsidRPr="00953798" w:rsidRDefault="00D520D6"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To close a file, enter the date of the last paper filed on the file cover</w:t>
      </w:r>
      <w:r w:rsidRPr="00953798">
        <w:rPr>
          <w:rFonts w:asciiTheme="minorHAnsi" w:hAnsiTheme="minorHAnsi"/>
          <w:bCs/>
          <w:i/>
          <w:sz w:val="22"/>
          <w:szCs w:val="22"/>
        </w:rPr>
        <w:t>.</w:t>
      </w:r>
      <w:r w:rsidRPr="00953798">
        <w:rPr>
          <w:rFonts w:asciiTheme="minorHAnsi" w:hAnsiTheme="minorHAnsi"/>
          <w:bCs/>
          <w:sz w:val="22"/>
          <w:szCs w:val="22"/>
        </w:rPr>
        <w:t xml:space="preserve"> Leave the branch review decision boxes blank. Ensure there are no loose papers.</w:t>
      </w:r>
    </w:p>
    <w:p w:rsidR="00D520D6" w:rsidRPr="003E7D59" w:rsidRDefault="00D520D6" w:rsidP="00BB24D4">
      <w:pPr>
        <w:pStyle w:val="BodyText"/>
        <w:spacing w:after="0"/>
        <w:rPr>
          <w:rFonts w:asciiTheme="minorHAnsi" w:hAnsiTheme="minorHAnsi"/>
          <w:bCs/>
        </w:rPr>
      </w:pP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4.6 Opening further volumes:</w:t>
      </w:r>
    </w:p>
    <w:p w:rsidR="00D520D6" w:rsidRPr="00953798" w:rsidRDefault="00D520D6" w:rsidP="00BB24D4">
      <w:pPr>
        <w:pStyle w:val="BodyText"/>
        <w:spacing w:after="0"/>
        <w:outlineLvl w:val="0"/>
        <w:rPr>
          <w:rFonts w:asciiTheme="minorHAnsi" w:hAnsiTheme="minorHAnsi"/>
          <w:b/>
          <w:bCs/>
          <w:sz w:val="22"/>
          <w:szCs w:val="22"/>
        </w:rPr>
      </w:pPr>
      <w:r w:rsidRPr="00953798">
        <w:rPr>
          <w:rFonts w:asciiTheme="minorHAnsi" w:hAnsiTheme="minorHAnsi"/>
          <w:bCs/>
          <w:sz w:val="22"/>
          <w:szCs w:val="22"/>
        </w:rPr>
        <w:t xml:space="preserve">Close the old file as section 4.5, and write ‘continues in volume x’ below ‘date of last paper’. Complete the front of the new file as in section 4.2.1, with the new volume number. </w:t>
      </w:r>
    </w:p>
    <w:p w:rsidR="00D520D6" w:rsidRPr="003E7D59" w:rsidRDefault="00D520D6" w:rsidP="00BB24D4">
      <w:pPr>
        <w:pStyle w:val="BodyText"/>
        <w:spacing w:after="0"/>
        <w:rPr>
          <w:rFonts w:asciiTheme="minorHAnsi" w:hAnsiTheme="minorHAnsi"/>
          <w:bCs/>
        </w:rPr>
      </w:pPr>
    </w:p>
    <w:p w:rsidR="00D520D6" w:rsidRPr="003E7D59" w:rsidRDefault="00D520D6" w:rsidP="00BB24D4">
      <w:pPr>
        <w:pStyle w:val="BodyText"/>
        <w:spacing w:after="0"/>
        <w:rPr>
          <w:rFonts w:asciiTheme="minorHAnsi" w:hAnsiTheme="minorHAnsi"/>
          <w:b/>
          <w:bCs/>
        </w:rPr>
      </w:pPr>
      <w:r w:rsidRPr="003E7D59">
        <w:rPr>
          <w:rFonts w:asciiTheme="minorHAnsi" w:hAnsiTheme="minorHAnsi"/>
          <w:b/>
          <w:bCs/>
        </w:rPr>
        <w:t>4.7 Retention period and destruction date:</w:t>
      </w:r>
    </w:p>
    <w:p w:rsidR="00D520D6" w:rsidRPr="00953798" w:rsidRDefault="00D520D6"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NIHR, PRP and HICF contract files must be kept for 25 years after the end of contract. Please see NIHR Guidance Document “NIHR policy for project/contract-related record retention and destruction” for detailed information on this.</w:t>
      </w:r>
    </w:p>
    <w:p w:rsidR="00D520D6" w:rsidRPr="00953798" w:rsidRDefault="00D520D6" w:rsidP="00BB24D4">
      <w:pPr>
        <w:pStyle w:val="BodyText"/>
        <w:spacing w:after="0"/>
        <w:jc w:val="both"/>
        <w:rPr>
          <w:rFonts w:asciiTheme="minorHAnsi" w:hAnsiTheme="minorHAnsi"/>
          <w:bCs/>
          <w:sz w:val="22"/>
          <w:szCs w:val="22"/>
        </w:rPr>
      </w:pPr>
    </w:p>
    <w:p w:rsidR="00D520D6" w:rsidRPr="00953798" w:rsidRDefault="00D520D6" w:rsidP="00BB24D4">
      <w:pPr>
        <w:pStyle w:val="BodyText"/>
        <w:spacing w:after="0"/>
        <w:jc w:val="both"/>
        <w:rPr>
          <w:rFonts w:asciiTheme="minorHAnsi" w:hAnsiTheme="minorHAnsi"/>
          <w:bCs/>
          <w:sz w:val="22"/>
          <w:szCs w:val="22"/>
        </w:rPr>
      </w:pPr>
      <w:r w:rsidRPr="00953798">
        <w:rPr>
          <w:rFonts w:asciiTheme="minorHAnsi" w:hAnsiTheme="minorHAnsi"/>
          <w:bCs/>
          <w:sz w:val="22"/>
          <w:szCs w:val="22"/>
        </w:rPr>
        <w:t xml:space="preserve">Pink files must never be destroyed locally (by </w:t>
      </w:r>
      <w:r w:rsidR="00D46872" w:rsidRPr="00953798">
        <w:rPr>
          <w:rFonts w:asciiTheme="minorHAnsi" w:hAnsiTheme="minorHAnsi"/>
          <w:bCs/>
          <w:sz w:val="22"/>
          <w:szCs w:val="22"/>
        </w:rPr>
        <w:t>CCF</w:t>
      </w:r>
      <w:r w:rsidRPr="00953798">
        <w:rPr>
          <w:rFonts w:asciiTheme="minorHAnsi" w:hAnsiTheme="minorHAnsi"/>
          <w:bCs/>
          <w:sz w:val="22"/>
          <w:szCs w:val="22"/>
        </w:rPr>
        <w:t>). They must always be sent to DH even if the destruction date has been reached.</w:t>
      </w:r>
    </w:p>
    <w:p w:rsidR="00D520D6" w:rsidRPr="00953798" w:rsidRDefault="00D520D6" w:rsidP="00BB24D4">
      <w:pPr>
        <w:pStyle w:val="BodyText"/>
        <w:spacing w:after="0"/>
        <w:jc w:val="both"/>
        <w:rPr>
          <w:rFonts w:asciiTheme="minorHAnsi" w:hAnsiTheme="minorHAnsi"/>
          <w:bCs/>
          <w:sz w:val="22"/>
          <w:szCs w:val="22"/>
        </w:rPr>
      </w:pP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 xml:space="preserve">4.8 Archiving pink files: </w:t>
      </w: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4.8.1 NIHR and HICF:</w:t>
      </w:r>
    </w:p>
    <w:p w:rsidR="00D520D6" w:rsidRPr="00953798" w:rsidRDefault="00D520D6" w:rsidP="00BB24D4">
      <w:pPr>
        <w:jc w:val="both"/>
      </w:pPr>
      <w:r w:rsidRPr="00953798">
        <w:t xml:space="preserve">All pink files must be sent to DH when no longer required by PMG. They can be sent back to DH for archiving as soon as the </w:t>
      </w:r>
      <w:r w:rsidRPr="00953798">
        <w:rPr>
          <w:bCs/>
        </w:rPr>
        <w:t>contract</w:t>
      </w:r>
      <w:r w:rsidRPr="00953798">
        <w:t xml:space="preserve"> has completed, the final report has been submitted and the final payment made, although it may be practical to keep them locally for 12 months, in case of queries arising. The file must be marked closed, following the procedure in 4.5. Staff wishing to send pink files to archive must first email a list of files, making up no more than four archive boxes, to Kathy Mann at Quarry House (</w:t>
      </w:r>
      <w:hyperlink r:id="rId21" w:history="1">
        <w:r w:rsidRPr="00953798">
          <w:rPr>
            <w:rStyle w:val="Hyperlink"/>
          </w:rPr>
          <w:t>kathy.mann@dh.gsi.gov.uk</w:t>
        </w:r>
      </w:hyperlink>
      <w:r w:rsidRPr="00953798">
        <w:t>). Due to limited storage space, Kathy Mann’s approval must be obtained before any boxes are sent to her at Department of Health, Quarry House, Quarry Hill, Leeds, LS2 7UE.</w:t>
      </w:r>
    </w:p>
    <w:p w:rsidR="00D520D6" w:rsidRPr="00953798" w:rsidRDefault="00D520D6" w:rsidP="00BB24D4">
      <w:pPr>
        <w:jc w:val="both"/>
      </w:pPr>
      <w:r w:rsidRPr="00953798">
        <w:t xml:space="preserve">Electronic records should be sent for archiving with the paper files (see SOP </w:t>
      </w:r>
      <w:r w:rsidR="00964BDB" w:rsidRPr="00953798">
        <w:t xml:space="preserve">3 </w:t>
      </w:r>
      <w:r w:rsidRPr="00953798">
        <w:t>Project and programme electronic records management). All documents, whether paper or electronic, must be sent by secure means, with tracking and signature on delivery.</w:t>
      </w: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4.8.2 PRP</w:t>
      </w:r>
    </w:p>
    <w:p w:rsidR="00D520D6" w:rsidRPr="00953798" w:rsidRDefault="00D520D6" w:rsidP="00BB24D4">
      <w:pPr>
        <w:jc w:val="both"/>
      </w:pPr>
      <w:r w:rsidRPr="00953798">
        <w:t xml:space="preserve">Pink files can be sent back to DH for archiving when the </w:t>
      </w:r>
      <w:r w:rsidRPr="00953798">
        <w:rPr>
          <w:bCs/>
        </w:rPr>
        <w:t>contract</w:t>
      </w:r>
      <w:r w:rsidRPr="00953798">
        <w:t xml:space="preserve"> has completed, the final report has been submitted and the final payment made. Files should be boxed and sent to the PRP Office Manager, Department of Health, [address needed to be consistent]</w:t>
      </w:r>
      <w:r w:rsidRPr="00953798">
        <w:rPr>
          <w:lang w:val="en-US"/>
        </w:rPr>
        <w:t xml:space="preserve">. </w:t>
      </w:r>
      <w:r w:rsidRPr="00953798">
        <w:t xml:space="preserve">Electronic records should be sent for archiving with the paper files (see SOP </w:t>
      </w:r>
      <w:r w:rsidR="00964BDB" w:rsidRPr="00953798">
        <w:t xml:space="preserve">3 </w:t>
      </w:r>
      <w:r w:rsidRPr="00953798">
        <w:t>Programme and Project Electronic Records management).</w:t>
      </w:r>
    </w:p>
    <w:p w:rsidR="00D520D6" w:rsidRPr="003E7D59" w:rsidRDefault="00D520D6" w:rsidP="00BB24D4">
      <w:pPr>
        <w:pStyle w:val="BodyText"/>
        <w:spacing w:after="0"/>
        <w:outlineLvl w:val="0"/>
        <w:rPr>
          <w:rFonts w:asciiTheme="minorHAnsi" w:hAnsiTheme="minorHAnsi"/>
          <w:b/>
          <w:bCs/>
        </w:rPr>
      </w:pPr>
      <w:r w:rsidRPr="003E7D59">
        <w:rPr>
          <w:rFonts w:asciiTheme="minorHAnsi" w:hAnsiTheme="minorHAnsi"/>
          <w:b/>
          <w:bCs/>
        </w:rPr>
        <w:t>4.9 Keep indexes of files opened/closed/returned to DH:</w:t>
      </w:r>
    </w:p>
    <w:p w:rsidR="00D520D6" w:rsidRPr="00953798" w:rsidRDefault="00D520D6" w:rsidP="00BB24D4">
      <w:pPr>
        <w:jc w:val="both"/>
      </w:pPr>
      <w:r w:rsidRPr="00953798">
        <w:t>Programmes must maintain an accurate list of files, their status and their location. This index must be stored by individual Programmes (see also 4.2.2).</w:t>
      </w:r>
    </w:p>
    <w:p w:rsidR="00D520D6" w:rsidRPr="00953798" w:rsidRDefault="00D520D6" w:rsidP="00BB24D4">
      <w:pPr>
        <w:pStyle w:val="BodyText"/>
        <w:spacing w:after="0"/>
        <w:outlineLvl w:val="0"/>
        <w:rPr>
          <w:rFonts w:asciiTheme="minorHAnsi" w:hAnsiTheme="minorHAnsi"/>
          <w:b/>
          <w:bCs/>
        </w:rPr>
      </w:pPr>
      <w:r w:rsidRPr="00953798">
        <w:rPr>
          <w:rFonts w:asciiTheme="minorHAnsi" w:hAnsiTheme="minorHAnsi"/>
          <w:b/>
          <w:bCs/>
        </w:rPr>
        <w:t>4.10 Retrieving files from archive:</w:t>
      </w:r>
    </w:p>
    <w:p w:rsidR="00D520D6" w:rsidRPr="00953798" w:rsidRDefault="00D520D6" w:rsidP="00BB24D4">
      <w:pPr>
        <w:jc w:val="both"/>
      </w:pPr>
      <w:r w:rsidRPr="00953798">
        <w:rPr>
          <w:bCs/>
        </w:rPr>
        <w:t xml:space="preserve">Files can be retrieved from the DH archive if required. Requests should be submitted to </w:t>
      </w:r>
      <w:r w:rsidRPr="00953798">
        <w:t>Kathy Mann, Department of Health, Quarry House, Quarry Hill, Leeds, LS2 7UE, quoting all file reference details.</w:t>
      </w:r>
    </w:p>
    <w:p w:rsidR="00D520D6" w:rsidRPr="003E7D59" w:rsidRDefault="00D520D6" w:rsidP="00BB24D4">
      <w:pPr>
        <w:rPr>
          <w:sz w:val="28"/>
          <w:szCs w:val="28"/>
        </w:rPr>
      </w:pPr>
      <w:r w:rsidRPr="003E7D59">
        <w:rPr>
          <w:sz w:val="28"/>
          <w:szCs w:val="28"/>
        </w:rPr>
        <w:br w:type="page"/>
      </w:r>
    </w:p>
    <w:p w:rsidR="00D520D6" w:rsidRPr="003E7D59" w:rsidRDefault="00D520D6" w:rsidP="00BB24D4">
      <w:pPr>
        <w:ind w:left="2127" w:hanging="2127"/>
        <w:rPr>
          <w:b/>
          <w:sz w:val="28"/>
          <w:szCs w:val="28"/>
          <w:u w:val="single"/>
        </w:rPr>
      </w:pPr>
      <w:r w:rsidRPr="003E7D59">
        <w:rPr>
          <w:b/>
          <w:sz w:val="28"/>
          <w:szCs w:val="28"/>
          <w:u w:val="single"/>
        </w:rPr>
        <w:lastRenderedPageBreak/>
        <w:t xml:space="preserve">Standard Operating Procedure Number </w:t>
      </w:r>
      <w:r w:rsidR="007D1F5F" w:rsidRPr="003E7D59">
        <w:rPr>
          <w:b/>
          <w:sz w:val="28"/>
          <w:szCs w:val="28"/>
          <w:u w:val="single"/>
        </w:rPr>
        <w:t>5</w:t>
      </w:r>
    </w:p>
    <w:p w:rsidR="00D520D6" w:rsidRPr="003E7D59" w:rsidRDefault="00D520D6" w:rsidP="00BB24D4">
      <w:pPr>
        <w:rPr>
          <w:sz w:val="28"/>
          <w:szCs w:val="28"/>
        </w:rPr>
      </w:pPr>
      <w:r w:rsidRPr="003E7D59">
        <w:rPr>
          <w:b/>
          <w:sz w:val="28"/>
          <w:szCs w:val="28"/>
        </w:rPr>
        <w:t>Payment of those supporting the NIHR commissioning process</w:t>
      </w:r>
      <w:r w:rsidRPr="003E7D59">
        <w:rPr>
          <w:sz w:val="28"/>
          <w:szCs w:val="28"/>
        </w:rPr>
        <w:t xml:space="preserve"> </w:t>
      </w:r>
    </w:p>
    <w:p w:rsidR="00D520D6" w:rsidRPr="003E7D59" w:rsidRDefault="00D520D6" w:rsidP="00BB24D4">
      <w:pPr>
        <w:spacing w:after="120"/>
        <w:ind w:left="2126" w:hanging="2126"/>
        <w:rPr>
          <w:b/>
          <w:sz w:val="30"/>
          <w:szCs w:val="30"/>
        </w:rPr>
      </w:pPr>
    </w:p>
    <w:p w:rsidR="00D520D6" w:rsidRPr="003E7D59" w:rsidRDefault="00D520D6" w:rsidP="00BB24D4">
      <w:pPr>
        <w:pStyle w:val="BodyText"/>
        <w:numPr>
          <w:ilvl w:val="0"/>
          <w:numId w:val="18"/>
        </w:numPr>
        <w:rPr>
          <w:rFonts w:asciiTheme="minorHAnsi" w:hAnsiTheme="minorHAnsi"/>
          <w:b/>
          <w:bCs/>
          <w:sz w:val="28"/>
          <w:szCs w:val="28"/>
        </w:rPr>
      </w:pPr>
      <w:r w:rsidRPr="003E7D59">
        <w:rPr>
          <w:rFonts w:asciiTheme="minorHAnsi" w:hAnsiTheme="minorHAnsi"/>
          <w:b/>
          <w:bCs/>
          <w:sz w:val="28"/>
        </w:rPr>
        <w:t>Background</w:t>
      </w:r>
    </w:p>
    <w:p w:rsidR="00D520D6" w:rsidRPr="00953798" w:rsidRDefault="00D520D6" w:rsidP="003A0CC1">
      <w:pPr>
        <w:jc w:val="both"/>
      </w:pPr>
      <w:r w:rsidRPr="00953798">
        <w:t>The NIHR commissions research through a range of funding streams all of which have specific remits and many of which have developed over a number of years.  The rationalisation of commissioning centres has exposed variations in practice many, but not all of which can be explained and justified.  This paper seeks to set out DH policy where it exists and to address variations in the implementation thereof.</w:t>
      </w:r>
    </w:p>
    <w:p w:rsidR="00D520D6" w:rsidRPr="003E7D59" w:rsidRDefault="00D520D6" w:rsidP="00BB24D4">
      <w:pPr>
        <w:pStyle w:val="BodyText"/>
        <w:numPr>
          <w:ilvl w:val="0"/>
          <w:numId w:val="18"/>
        </w:numPr>
        <w:rPr>
          <w:rFonts w:asciiTheme="minorHAnsi" w:hAnsiTheme="minorHAnsi"/>
          <w:b/>
          <w:bCs/>
          <w:sz w:val="28"/>
          <w:szCs w:val="28"/>
        </w:rPr>
      </w:pPr>
      <w:r w:rsidRPr="003E7D59">
        <w:rPr>
          <w:rFonts w:asciiTheme="minorHAnsi" w:hAnsiTheme="minorHAnsi"/>
          <w:b/>
          <w:bCs/>
          <w:sz w:val="28"/>
        </w:rPr>
        <w:t>Policy</w:t>
      </w:r>
    </w:p>
    <w:p w:rsidR="00D520D6" w:rsidRPr="003A0CC1" w:rsidRDefault="00D520D6" w:rsidP="003A0CC1">
      <w:pPr>
        <w:jc w:val="both"/>
      </w:pPr>
      <w:r w:rsidRPr="003A0CC1">
        <w:t>The following policy has been agreed with Prof Dame Sally Davies, DH:</w:t>
      </w:r>
    </w:p>
    <w:p w:rsidR="00D520D6" w:rsidRPr="00953798" w:rsidRDefault="00D520D6" w:rsidP="00BB24D4">
      <w:pPr>
        <w:pStyle w:val="Heading1"/>
        <w:jc w:val="both"/>
        <w:rPr>
          <w:rFonts w:asciiTheme="minorHAnsi" w:hAnsiTheme="minorHAnsi"/>
          <w:sz w:val="22"/>
          <w:szCs w:val="22"/>
        </w:rPr>
      </w:pPr>
      <w:r w:rsidRPr="00953798">
        <w:rPr>
          <w:rFonts w:asciiTheme="minorHAnsi" w:hAnsiTheme="minorHAnsi"/>
          <w:sz w:val="22"/>
          <w:szCs w:val="22"/>
        </w:rPr>
        <w:t>Peer review of draft and full proposals</w:t>
      </w:r>
    </w:p>
    <w:p w:rsidR="00D520D6" w:rsidRPr="00953798" w:rsidRDefault="00D520D6" w:rsidP="003A0CC1">
      <w:pPr>
        <w:jc w:val="both"/>
      </w:pPr>
      <w:r w:rsidRPr="00953798">
        <w:t xml:space="preserve">In general, there is no automatic payment of peer reviewers on draft and full proposals.  The assumption is that payment, if it were to be affordable, would only ever be minimal and therefore would not act as incentive.  A successful SDO pilot offered a high level of payment and would be very costly if replicated across NIHR. The general policy set out in Annex 1 applies. </w:t>
      </w:r>
    </w:p>
    <w:p w:rsidR="00D520D6" w:rsidRPr="00953798" w:rsidRDefault="00D520D6" w:rsidP="00BB24D4">
      <w:pPr>
        <w:pStyle w:val="Heading1"/>
        <w:jc w:val="both"/>
        <w:rPr>
          <w:rFonts w:asciiTheme="minorHAnsi" w:hAnsiTheme="minorHAnsi"/>
          <w:sz w:val="22"/>
          <w:szCs w:val="22"/>
        </w:rPr>
      </w:pPr>
      <w:r w:rsidRPr="00953798">
        <w:rPr>
          <w:rFonts w:asciiTheme="minorHAnsi" w:hAnsiTheme="minorHAnsi"/>
          <w:sz w:val="22"/>
          <w:szCs w:val="22"/>
        </w:rPr>
        <w:t>Chairs and Deputy Chairs of Commissioning Boards or similar</w:t>
      </w:r>
    </w:p>
    <w:p w:rsidR="00D520D6" w:rsidRPr="00953798" w:rsidRDefault="00D520D6" w:rsidP="00BB24D4">
      <w:pPr>
        <w:jc w:val="both"/>
      </w:pPr>
      <w:r w:rsidRPr="00953798">
        <w:t xml:space="preserve">In accordance with existing policy (see Annex 1), most Chairs of Commissioning Boards or similar receive payment in terms of reimbursement of their institution for an agreed number of days per week.  However in the case of the Chair of the Policy Research Programme Commissioning Panel, Research for Patient Benefit Panel Chairs of Regional Sub Committees and Sub Panel Chairs of NIHR Programme Grants for Applied Research selection panels, an honorarium of £7.5k per annum is paid. Note that civil servants and full-time employees of Research Councils and publicly-funded organisations including the NHS but excluding Universities are NOT eligible to receive honorariums.  </w:t>
      </w:r>
    </w:p>
    <w:p w:rsidR="00D520D6" w:rsidRPr="00953798" w:rsidRDefault="00D520D6" w:rsidP="00BB24D4">
      <w:pPr>
        <w:jc w:val="both"/>
        <w:rPr>
          <w:i/>
        </w:rPr>
      </w:pPr>
      <w:r w:rsidRPr="00953798">
        <w:t>Where payment is made and where the individual is employed then strong preference is for that payment to be made to the individual’s employing organisation, for example their host University.  The following wording should be included in the letter of appointment: “</w:t>
      </w:r>
      <w:r w:rsidRPr="00953798">
        <w:rPr>
          <w:i/>
        </w:rPr>
        <w:t>Our preference is to make honoraria payments to employing organisation. To allow payment to be made, please advise of the appropriate contact within your organisation”.</w:t>
      </w:r>
    </w:p>
    <w:p w:rsidR="00D520D6" w:rsidRPr="00953798" w:rsidRDefault="00D520D6" w:rsidP="00BB24D4">
      <w:pPr>
        <w:jc w:val="both"/>
      </w:pPr>
      <w:r w:rsidRPr="00953798">
        <w:t>Where payments are made to individuals, for example those who are self employed or retired the tax implications of honoraria payments must be brought to their attention.  The following wording should be included in the letter of appointment: “</w:t>
      </w:r>
      <w:r w:rsidRPr="00953798">
        <w:rPr>
          <w:i/>
        </w:rPr>
        <w:t>Please note, it is our duty to point out that you may need to inform the Inland Revenue of income you receive”.</w:t>
      </w:r>
    </w:p>
    <w:p w:rsidR="00D520D6" w:rsidRPr="00953798" w:rsidRDefault="00D520D6" w:rsidP="00BB24D4">
      <w:pPr>
        <w:jc w:val="both"/>
      </w:pPr>
      <w:r w:rsidRPr="00953798">
        <w:t xml:space="preserve">All honoraria payments made on behalf of Department of Health </w:t>
      </w:r>
      <w:r w:rsidRPr="00953798">
        <w:rPr>
          <w:u w:val="single"/>
        </w:rPr>
        <w:t>MUST</w:t>
      </w:r>
      <w:r w:rsidRPr="00953798">
        <w:t xml:space="preserve"> be recharged back to the Department.  As with all payments, Coordinating Centres should be able to provide a full audit trail on request.</w:t>
      </w:r>
    </w:p>
    <w:p w:rsidR="00D520D6" w:rsidRPr="00953798" w:rsidRDefault="00D520D6" w:rsidP="00BB24D4"/>
    <w:p w:rsidR="00D520D6" w:rsidRPr="00953798" w:rsidRDefault="00D520D6" w:rsidP="00BB24D4">
      <w:pPr>
        <w:spacing w:after="0"/>
        <w:jc w:val="both"/>
        <w:rPr>
          <w:b/>
        </w:rPr>
      </w:pPr>
      <w:r w:rsidRPr="00953798">
        <w:rPr>
          <w:b/>
        </w:rPr>
        <w:lastRenderedPageBreak/>
        <w:t>Commissioning Board Members, Chairs of Prioritisation Boards or Panels or similar, Members of Prioritisation Boards or Panels and other committee members</w:t>
      </w:r>
    </w:p>
    <w:p w:rsidR="00D520D6" w:rsidRPr="00953798" w:rsidRDefault="00D520D6" w:rsidP="00BB24D4">
      <w:pPr>
        <w:jc w:val="both"/>
      </w:pPr>
      <w:r w:rsidRPr="00953798">
        <w:t xml:space="preserve">In accordance with existing policy, the majority of the above are unpaid at present (other than patient and public involvement </w:t>
      </w:r>
      <w:r w:rsidRPr="00953798">
        <w:noBreakHyphen/>
        <w:t xml:space="preserve"> see below).  However, payment is made where there is a significant time commitment on the part of an individual, for example HTA Commissioning Board and Prioritisation Panel chairs. Routine payments are not made to those attending meetings arranged by or on behalf of NIHR, other than PPI. In future, Panel/ Board members may be given honorary NIHR Investigator status.</w:t>
      </w:r>
    </w:p>
    <w:p w:rsidR="00D520D6" w:rsidRPr="00255EAE" w:rsidRDefault="00D520D6" w:rsidP="00BB24D4">
      <w:pPr>
        <w:pStyle w:val="Heading1"/>
        <w:jc w:val="both"/>
        <w:rPr>
          <w:rFonts w:asciiTheme="minorHAnsi" w:hAnsiTheme="minorHAnsi"/>
          <w:sz w:val="22"/>
          <w:szCs w:val="22"/>
        </w:rPr>
      </w:pPr>
      <w:r w:rsidRPr="00255EAE">
        <w:rPr>
          <w:rFonts w:asciiTheme="minorHAnsi" w:hAnsiTheme="minorHAnsi"/>
          <w:sz w:val="22"/>
          <w:szCs w:val="22"/>
        </w:rPr>
        <w:t>Publication and peer review of outputs</w:t>
      </w:r>
    </w:p>
    <w:p w:rsidR="00D520D6" w:rsidRPr="00953798" w:rsidRDefault="00D520D6" w:rsidP="00BB24D4">
      <w:pPr>
        <w:spacing w:after="120"/>
        <w:jc w:val="both"/>
      </w:pPr>
      <w:r w:rsidRPr="00953798">
        <w:t>In accordance with existing policy, NCCHTA pays those involved as editors and peer reviewers of the HTA monograph series.</w:t>
      </w:r>
    </w:p>
    <w:p w:rsidR="00D520D6" w:rsidRPr="00255EAE" w:rsidRDefault="00D520D6" w:rsidP="00BB24D4">
      <w:pPr>
        <w:pStyle w:val="Heading1"/>
        <w:jc w:val="both"/>
        <w:rPr>
          <w:rFonts w:asciiTheme="minorHAnsi" w:hAnsiTheme="minorHAnsi"/>
          <w:sz w:val="22"/>
          <w:szCs w:val="22"/>
        </w:rPr>
      </w:pPr>
      <w:r w:rsidRPr="00255EAE">
        <w:rPr>
          <w:rFonts w:asciiTheme="minorHAnsi" w:hAnsiTheme="minorHAnsi"/>
          <w:sz w:val="22"/>
          <w:szCs w:val="22"/>
        </w:rPr>
        <w:t xml:space="preserve">Patient and public involvement </w:t>
      </w:r>
    </w:p>
    <w:p w:rsidR="007129DD" w:rsidRPr="00953798" w:rsidRDefault="007129DD" w:rsidP="00BB24D4">
      <w:r w:rsidRPr="00255EAE">
        <w:t>CCF has produced a guide: ‘</w:t>
      </w:r>
      <w:hyperlink r:id="rId22" w:history="1">
        <w:r w:rsidRPr="00255EAE">
          <w:rPr>
            <w:rStyle w:val="Hyperlink"/>
          </w:rPr>
          <w:t>Reward and recognition for public contributors: A guide to the payment of fees and expenses</w:t>
        </w:r>
      </w:hyperlink>
      <w:r w:rsidRPr="00255EAE">
        <w:t>’ (2014) which outlines current policy for making payments to PPI contributors and must be followed. It is based on guidance that has been agreed with the Department of Health: ‘</w:t>
      </w:r>
      <w:hyperlink r:id="rId23" w:history="1">
        <w:r w:rsidRPr="00255EAE">
          <w:rPr>
            <w:rStyle w:val="Hyperlink"/>
          </w:rPr>
          <w:t>National Institute for Health Research (NIHR) Programmes: Payment and reimbursement rates for public involvement</w:t>
        </w:r>
      </w:hyperlink>
      <w:r w:rsidRPr="00255EAE">
        <w:t>’ (2009) and aligns with guidance developed by the NIHR Evaluations Trials and Studies Coordinating Centre.</w:t>
      </w:r>
    </w:p>
    <w:p w:rsidR="00D520D6" w:rsidRPr="00255EAE" w:rsidRDefault="00D520D6" w:rsidP="00BB24D4">
      <w:pPr>
        <w:pStyle w:val="Heading1"/>
        <w:jc w:val="both"/>
        <w:rPr>
          <w:rFonts w:asciiTheme="minorHAnsi" w:hAnsiTheme="minorHAnsi"/>
          <w:sz w:val="22"/>
          <w:szCs w:val="22"/>
        </w:rPr>
      </w:pPr>
      <w:r w:rsidRPr="00255EAE">
        <w:rPr>
          <w:rFonts w:asciiTheme="minorHAnsi" w:hAnsiTheme="minorHAnsi"/>
          <w:sz w:val="22"/>
          <w:szCs w:val="22"/>
        </w:rPr>
        <w:t>Method of Payment</w:t>
      </w:r>
    </w:p>
    <w:p w:rsidR="00D520D6" w:rsidRPr="00953798" w:rsidRDefault="00D520D6" w:rsidP="003A0CC1">
      <w:pPr>
        <w:jc w:val="both"/>
      </w:pPr>
      <w:r w:rsidRPr="00953798">
        <w:t>Payments are normally made to an individual's institution except for honorarium payments.  This variation is acceptable. Where payments are to individuals, the individual concerned is responsible for declaring the income as required by law.</w:t>
      </w:r>
    </w:p>
    <w:p w:rsidR="00D520D6" w:rsidRPr="00953798" w:rsidRDefault="00D520D6" w:rsidP="00BB24D4">
      <w:pPr>
        <w:pStyle w:val="Heading1"/>
        <w:rPr>
          <w:rFonts w:asciiTheme="minorHAnsi" w:hAnsiTheme="minorHAnsi"/>
          <w:sz w:val="22"/>
          <w:szCs w:val="22"/>
        </w:rPr>
      </w:pPr>
      <w:r w:rsidRPr="00953798">
        <w:rPr>
          <w:rFonts w:asciiTheme="minorHAnsi" w:hAnsiTheme="minorHAnsi"/>
          <w:sz w:val="22"/>
          <w:szCs w:val="22"/>
        </w:rPr>
        <w:t>Travel and Subsistence, Hospitality and Gifts</w:t>
      </w:r>
    </w:p>
    <w:p w:rsidR="00D520D6" w:rsidRPr="00953798" w:rsidRDefault="00D520D6" w:rsidP="003A0CC1">
      <w:pPr>
        <w:jc w:val="both"/>
      </w:pPr>
      <w:r w:rsidRPr="00953798">
        <w:t>Travel and subsistence costs are reimbursed at agreed rates for all of those attending meetings arranged by or on behalf of NIHR. Individuals are not limited to travel in standard class, but are advised to travel by the most economic means possible. The mileage rate for private cars is</w:t>
      </w:r>
      <w:r w:rsidRPr="003A0CC1">
        <w:t xml:space="preserve"> 45p per mile up to 10,000 miles in any one tax year, and 25p per mile thereafter. The passenger supplement is 2p per mile for one and 1p per additional passenger per mile. </w:t>
      </w:r>
      <w:r w:rsidRPr="00953798">
        <w:t xml:space="preserve">It is reasonable to provide meals for those attending meetings and it is acknowledged that some meetings dictate a formal meal particularly where an overnight stay is required.  The Department of Health cannot process invoices for alcohol.  Likewise, invoices for gifts cannot be processed except for international panels, and then only with the agreement of </w:t>
      </w:r>
      <w:r w:rsidRPr="003A0CC1">
        <w:t>Prof Dame Sally Davies, DH</w:t>
      </w:r>
      <w:r w:rsidRPr="00953798">
        <w:t>.</w:t>
      </w:r>
    </w:p>
    <w:p w:rsidR="00D520D6" w:rsidRPr="003E7D59" w:rsidRDefault="00D520D6" w:rsidP="00BB24D4">
      <w:pPr>
        <w:spacing w:after="120"/>
        <w:jc w:val="both"/>
      </w:pPr>
      <w:r w:rsidRPr="003E7D59">
        <w:t>No gifts shall be purchased on behalf of DH for retiring members of Panels/Committees.</w:t>
      </w:r>
    </w:p>
    <w:p w:rsidR="00D520D6" w:rsidRPr="00255EAE" w:rsidRDefault="00D520D6" w:rsidP="00BB24D4">
      <w:pPr>
        <w:pStyle w:val="Heading1"/>
        <w:jc w:val="both"/>
        <w:rPr>
          <w:rFonts w:asciiTheme="minorHAnsi" w:hAnsiTheme="minorHAnsi"/>
          <w:sz w:val="22"/>
          <w:szCs w:val="22"/>
        </w:rPr>
      </w:pPr>
      <w:r w:rsidRPr="00255EAE">
        <w:rPr>
          <w:rFonts w:asciiTheme="minorHAnsi" w:hAnsiTheme="minorHAnsi"/>
          <w:sz w:val="22"/>
          <w:szCs w:val="22"/>
        </w:rPr>
        <w:t>Exceptions</w:t>
      </w:r>
    </w:p>
    <w:p w:rsidR="00D520D6" w:rsidRPr="00953798" w:rsidRDefault="00D520D6" w:rsidP="00BB24D4">
      <w:pPr>
        <w:pStyle w:val="BodyText2"/>
        <w:spacing w:line="240" w:lineRule="auto"/>
        <w:jc w:val="both"/>
        <w:rPr>
          <w:rFonts w:asciiTheme="minorHAnsi" w:hAnsiTheme="minorHAnsi"/>
          <w:sz w:val="22"/>
          <w:szCs w:val="22"/>
        </w:rPr>
      </w:pPr>
      <w:r w:rsidRPr="00953798">
        <w:rPr>
          <w:rFonts w:asciiTheme="minorHAnsi" w:hAnsiTheme="minorHAnsi"/>
          <w:sz w:val="22"/>
          <w:szCs w:val="22"/>
        </w:rPr>
        <w:t xml:space="preserve">Exceptions to these instructions must be cleared in advance by the </w:t>
      </w:r>
      <w:r w:rsidRPr="00953798">
        <w:rPr>
          <w:rFonts w:asciiTheme="minorHAnsi" w:hAnsiTheme="minorHAnsi"/>
          <w:bCs/>
          <w:sz w:val="22"/>
          <w:szCs w:val="22"/>
        </w:rPr>
        <w:t>Prof Dame Sally Davies, DH</w:t>
      </w:r>
      <w:r w:rsidRPr="00953798">
        <w:rPr>
          <w:rFonts w:asciiTheme="minorHAnsi" w:hAnsiTheme="minorHAnsi"/>
          <w:sz w:val="22"/>
          <w:szCs w:val="22"/>
        </w:rPr>
        <w:t>.</w:t>
      </w:r>
    </w:p>
    <w:p w:rsidR="00D520D6" w:rsidRPr="003E7D59" w:rsidRDefault="00D520D6" w:rsidP="00BB24D4">
      <w:pPr>
        <w:pStyle w:val="BodyText"/>
        <w:numPr>
          <w:ilvl w:val="0"/>
          <w:numId w:val="18"/>
        </w:numPr>
        <w:rPr>
          <w:rFonts w:asciiTheme="minorHAnsi" w:hAnsiTheme="minorHAnsi"/>
          <w:b/>
          <w:bCs/>
          <w:sz w:val="28"/>
          <w:szCs w:val="28"/>
        </w:rPr>
      </w:pPr>
      <w:r w:rsidRPr="003E7D59">
        <w:rPr>
          <w:rFonts w:asciiTheme="minorHAnsi" w:hAnsiTheme="minorHAnsi"/>
          <w:b/>
          <w:bCs/>
          <w:sz w:val="28"/>
        </w:rPr>
        <w:t>Procedure for all CCF-managed NIHR Programmes (not PRP)</w:t>
      </w:r>
    </w:p>
    <w:p w:rsidR="00D520D6" w:rsidRPr="00953798" w:rsidRDefault="00D520D6" w:rsidP="00BB24D4">
      <w:pPr>
        <w:pStyle w:val="BodyText"/>
        <w:jc w:val="both"/>
        <w:rPr>
          <w:rFonts w:asciiTheme="minorHAnsi" w:hAnsiTheme="minorHAnsi"/>
          <w:bCs/>
          <w:sz w:val="22"/>
          <w:szCs w:val="22"/>
        </w:rPr>
      </w:pPr>
      <w:r w:rsidRPr="00953798">
        <w:rPr>
          <w:rFonts w:asciiTheme="minorHAnsi" w:hAnsiTheme="minorHAnsi"/>
          <w:bCs/>
          <w:sz w:val="22"/>
          <w:szCs w:val="22"/>
        </w:rPr>
        <w:t xml:space="preserve">The following general rules must be applied and any exceptions agreed in advance by </w:t>
      </w:r>
      <w:r w:rsidRPr="00953798">
        <w:rPr>
          <w:rFonts w:asciiTheme="minorHAnsi" w:hAnsiTheme="minorHAnsi"/>
          <w:sz w:val="22"/>
          <w:szCs w:val="22"/>
        </w:rPr>
        <w:t>the Director General of R&amp;D.</w:t>
      </w:r>
    </w:p>
    <w:p w:rsidR="00D520D6" w:rsidRPr="00953798" w:rsidRDefault="00D520D6" w:rsidP="00BB24D4">
      <w:pPr>
        <w:spacing w:after="120"/>
        <w:jc w:val="both"/>
      </w:pPr>
      <w:r w:rsidRPr="00953798">
        <w:rPr>
          <w:b/>
        </w:rPr>
        <w:t>3.1</w:t>
      </w:r>
      <w:r w:rsidRPr="00953798">
        <w:t xml:space="preserve"> Payments are not offered in respect of refereeing single proposals for funding.</w:t>
      </w:r>
    </w:p>
    <w:p w:rsidR="00D520D6" w:rsidRPr="00953798" w:rsidRDefault="00D520D6" w:rsidP="00BB24D4">
      <w:pPr>
        <w:spacing w:after="120"/>
        <w:jc w:val="both"/>
      </w:pPr>
      <w:r w:rsidRPr="00953798">
        <w:rPr>
          <w:b/>
        </w:rPr>
        <w:t>3.2</w:t>
      </w:r>
      <w:r w:rsidRPr="00953798">
        <w:t xml:space="preserve"> Programme Directors may authorise offers of payment for commenting on batches of proposals (or other excessively onerous requests of referees);  such payments will be strictly on an honorarium </w:t>
      </w:r>
      <w:r w:rsidRPr="00953798">
        <w:lastRenderedPageBreak/>
        <w:t>(one-off payment) basis and will not be expected to match the full consultancy rates for academic staff for the time involved; a notional level of £200 is suggested.  Payments will in general be made direct to the individual (the individual concerned will be responsible for declaring any payments received, for example to the Inland Revenue or to the Department for Work and Pensions).</w:t>
      </w:r>
    </w:p>
    <w:p w:rsidR="00D520D6" w:rsidRPr="00953798" w:rsidRDefault="00D520D6" w:rsidP="00BB24D4">
      <w:pPr>
        <w:spacing w:after="120"/>
        <w:jc w:val="both"/>
      </w:pPr>
      <w:r w:rsidRPr="00953798">
        <w:rPr>
          <w:b/>
        </w:rPr>
        <w:t>3.3</w:t>
      </w:r>
      <w:r w:rsidRPr="00953798">
        <w:t xml:space="preserve"> Payments are not offered for membership of committees, except for PPI, locum fees for GPs and possibly similar payments to other self</w:t>
      </w:r>
      <w:r w:rsidRPr="00953798">
        <w:noBreakHyphen/>
        <w:t>employed committee members where this is necessary and appropriate</w:t>
      </w:r>
    </w:p>
    <w:p w:rsidR="00D520D6" w:rsidRPr="00953798" w:rsidRDefault="00D520D6" w:rsidP="00BB24D4">
      <w:pPr>
        <w:spacing w:after="120"/>
        <w:jc w:val="both"/>
      </w:pPr>
      <w:r w:rsidRPr="00953798">
        <w:rPr>
          <w:b/>
        </w:rPr>
        <w:t>3.4</w:t>
      </w:r>
      <w:r w:rsidRPr="00953798">
        <w:t xml:space="preserve"> Payments may be offered for the services of those chairing committees; where the Chair is employed in an academic institution, payment should be through a contract to the academic institution, and should take account of the time the individual will devote outside formal committee meetings to the work of Chair.</w:t>
      </w:r>
    </w:p>
    <w:p w:rsidR="00D520D6" w:rsidRPr="00953798" w:rsidRDefault="00D520D6" w:rsidP="00BB24D4">
      <w:pPr>
        <w:spacing w:after="120"/>
        <w:jc w:val="both"/>
      </w:pPr>
      <w:r w:rsidRPr="00953798">
        <w:rPr>
          <w:b/>
        </w:rPr>
        <w:t>3.5</w:t>
      </w:r>
      <w:r w:rsidRPr="00953798">
        <w:t xml:space="preserve"> Payment may be offered to those providing "scientific editorial advice" on detailed final reports; an honorarium in the order of £200 for a major report is suggested; this would generally be paid direct to the individual concerned.</w:t>
      </w:r>
    </w:p>
    <w:p w:rsidR="00D520D6" w:rsidRPr="003E7D59" w:rsidRDefault="00D520D6" w:rsidP="00BB24D4">
      <w:pPr>
        <w:pStyle w:val="BodyText"/>
        <w:numPr>
          <w:ilvl w:val="0"/>
          <w:numId w:val="18"/>
        </w:numPr>
        <w:rPr>
          <w:rFonts w:asciiTheme="minorHAnsi" w:hAnsiTheme="minorHAnsi"/>
          <w:b/>
          <w:bCs/>
          <w:sz w:val="28"/>
        </w:rPr>
      </w:pPr>
      <w:r w:rsidRPr="003E7D59">
        <w:rPr>
          <w:rFonts w:asciiTheme="minorHAnsi" w:hAnsiTheme="minorHAnsi"/>
          <w:b/>
          <w:bCs/>
          <w:sz w:val="28"/>
        </w:rPr>
        <w:t>Additional Procedure for PRP</w:t>
      </w:r>
    </w:p>
    <w:p w:rsidR="00D520D6" w:rsidRPr="00255EAE" w:rsidRDefault="00255EAE" w:rsidP="00BB24D4">
      <w:pPr>
        <w:pStyle w:val="BodyText"/>
        <w:spacing w:after="200" w:line="276" w:lineRule="auto"/>
        <w:jc w:val="both"/>
        <w:rPr>
          <w:rFonts w:asciiTheme="minorHAnsi" w:eastAsiaTheme="minorHAnsi" w:hAnsiTheme="minorHAnsi" w:cstheme="minorBidi"/>
          <w:sz w:val="22"/>
          <w:szCs w:val="22"/>
        </w:rPr>
      </w:pPr>
      <w:r w:rsidRPr="00255EAE">
        <w:rPr>
          <w:rFonts w:asciiTheme="minorHAnsi" w:eastAsiaTheme="minorHAnsi" w:hAnsiTheme="minorHAnsi" w:cstheme="minorBidi"/>
          <w:sz w:val="22"/>
          <w:szCs w:val="22"/>
        </w:rPr>
        <w:t>PRP practic</w:t>
      </w:r>
      <w:r w:rsidR="00D520D6" w:rsidRPr="00255EAE">
        <w:rPr>
          <w:rFonts w:asciiTheme="minorHAnsi" w:eastAsiaTheme="minorHAnsi" w:hAnsiTheme="minorHAnsi" w:cstheme="minorBidi"/>
          <w:sz w:val="22"/>
          <w:szCs w:val="22"/>
        </w:rPr>
        <w:t>es are broadly in line with the policy set out in Annex 1. The following variances to Annex 1 are justified for business reasons (derived from the PRP having policy customers and needing to work to the constraints and time pressures of a policy environment) and have been approved by the head of the PRP programme:</w:t>
      </w:r>
    </w:p>
    <w:p w:rsidR="00D520D6" w:rsidRPr="00953798" w:rsidRDefault="00D520D6" w:rsidP="00BB24D4">
      <w:pPr>
        <w:pStyle w:val="BodyText"/>
        <w:spacing w:after="200" w:line="276" w:lineRule="auto"/>
        <w:jc w:val="both"/>
        <w:rPr>
          <w:rFonts w:asciiTheme="minorHAnsi" w:hAnsiTheme="minorHAnsi"/>
          <w:sz w:val="22"/>
          <w:szCs w:val="22"/>
        </w:rPr>
      </w:pPr>
      <w:r w:rsidRPr="00953798">
        <w:rPr>
          <w:rFonts w:asciiTheme="minorHAnsi" w:hAnsiTheme="minorHAnsi"/>
          <w:b/>
          <w:bCs/>
          <w:sz w:val="22"/>
          <w:szCs w:val="22"/>
        </w:rPr>
        <w:t>4.1</w:t>
      </w:r>
      <w:r w:rsidRPr="00953798">
        <w:rPr>
          <w:rFonts w:asciiTheme="minorHAnsi" w:hAnsiTheme="minorHAnsi"/>
          <w:bCs/>
          <w:sz w:val="22"/>
          <w:szCs w:val="22"/>
        </w:rPr>
        <w:t xml:space="preserve"> </w:t>
      </w:r>
      <w:r w:rsidRPr="00255EAE">
        <w:rPr>
          <w:rFonts w:asciiTheme="minorHAnsi" w:eastAsiaTheme="minorHAnsi" w:hAnsiTheme="minorHAnsi" w:cstheme="minorBidi"/>
          <w:sz w:val="22"/>
          <w:szCs w:val="22"/>
        </w:rPr>
        <w:t>PRP does not normally offer an honorarium in respect of refereeing single proposals for funding. However, PRP exceptionally offers an honorarium (up to £200) to reviewers who take on a single application at very short notice and prepare a review for an urgent deadline.</w:t>
      </w:r>
    </w:p>
    <w:p w:rsidR="007129DD" w:rsidRPr="00255EAE" w:rsidRDefault="00D520D6" w:rsidP="00BB24D4">
      <w:pPr>
        <w:pStyle w:val="BodyText"/>
        <w:spacing w:after="200" w:line="276" w:lineRule="auto"/>
        <w:jc w:val="both"/>
        <w:rPr>
          <w:rFonts w:asciiTheme="minorHAnsi" w:eastAsiaTheme="minorHAnsi" w:hAnsiTheme="minorHAnsi" w:cstheme="minorBidi"/>
          <w:sz w:val="22"/>
          <w:szCs w:val="22"/>
        </w:rPr>
      </w:pPr>
      <w:r w:rsidRPr="00255EAE">
        <w:rPr>
          <w:rFonts w:asciiTheme="minorHAnsi" w:hAnsiTheme="minorHAnsi"/>
          <w:b/>
          <w:bCs/>
          <w:sz w:val="22"/>
          <w:szCs w:val="22"/>
        </w:rPr>
        <w:t xml:space="preserve">4.2 </w:t>
      </w:r>
      <w:r w:rsidRPr="00255EAE">
        <w:rPr>
          <w:rFonts w:asciiTheme="minorHAnsi" w:eastAsiaTheme="minorHAnsi" w:hAnsiTheme="minorHAnsi" w:cstheme="minorBidi"/>
          <w:sz w:val="22"/>
          <w:szCs w:val="22"/>
        </w:rPr>
        <w:t>PRP offers an honorarium for expert peer review of batches of applications of £100 per day (2 days max).</w:t>
      </w:r>
      <w:r w:rsidR="007129DD" w:rsidRPr="00255EAE">
        <w:rPr>
          <w:rFonts w:asciiTheme="minorHAnsi" w:eastAsiaTheme="minorHAnsi" w:hAnsiTheme="minorHAnsi" w:cstheme="minorBidi"/>
          <w:sz w:val="22"/>
          <w:szCs w:val="22"/>
        </w:rPr>
        <w:t xml:space="preserve">  In exceptional circumstances, when DH requires very quick turnaround times for expert reviews (a week or less) for all applications submitted within a call for proposals, then PRP will offer an honorarium of £450 to reviewers. In all instances, payments will be processed subject to peer reviewers submitting a review of satisfactory quality.</w:t>
      </w:r>
    </w:p>
    <w:p w:rsidR="00D520D6" w:rsidRPr="00255EAE" w:rsidRDefault="00D520D6" w:rsidP="00BB24D4">
      <w:pPr>
        <w:pStyle w:val="BodyText"/>
        <w:spacing w:after="200" w:line="276" w:lineRule="auto"/>
        <w:jc w:val="both"/>
        <w:rPr>
          <w:rFonts w:asciiTheme="minorHAnsi" w:eastAsiaTheme="minorHAnsi" w:hAnsiTheme="minorHAnsi" w:cstheme="minorBidi"/>
          <w:sz w:val="22"/>
          <w:szCs w:val="22"/>
        </w:rPr>
      </w:pPr>
      <w:r w:rsidRPr="00953798">
        <w:rPr>
          <w:rFonts w:asciiTheme="minorHAnsi" w:hAnsiTheme="minorHAnsi"/>
          <w:b/>
          <w:bCs/>
          <w:sz w:val="22"/>
          <w:szCs w:val="22"/>
        </w:rPr>
        <w:t>4.3</w:t>
      </w:r>
      <w:r w:rsidRPr="00953798">
        <w:rPr>
          <w:rFonts w:asciiTheme="minorHAnsi" w:hAnsiTheme="minorHAnsi"/>
          <w:bCs/>
          <w:sz w:val="22"/>
          <w:szCs w:val="22"/>
        </w:rPr>
        <w:t xml:space="preserve"> </w:t>
      </w:r>
      <w:r w:rsidRPr="00255EAE">
        <w:rPr>
          <w:rFonts w:asciiTheme="minorHAnsi" w:eastAsiaTheme="minorHAnsi" w:hAnsiTheme="minorHAnsi" w:cstheme="minorBidi"/>
          <w:sz w:val="22"/>
          <w:szCs w:val="22"/>
        </w:rPr>
        <w:t>PRP can consider, on a case-by-case basis, provision of an honorarium for preparation/ attendance of a panel meeting, both for the chair and for committee members. Payment is not routinely offered, but if requested will be considered by the Head of PRP at the level of £100 per day (2 days of preparation and one day of attendance max). Travel expenses are routinely met.</w:t>
      </w:r>
    </w:p>
    <w:p w:rsidR="00D520D6" w:rsidRPr="00255EAE" w:rsidRDefault="00D520D6" w:rsidP="00BB24D4">
      <w:pPr>
        <w:pStyle w:val="BodyText"/>
        <w:spacing w:after="200" w:line="276" w:lineRule="auto"/>
        <w:jc w:val="both"/>
        <w:rPr>
          <w:rFonts w:asciiTheme="minorHAnsi" w:eastAsiaTheme="minorHAnsi" w:hAnsiTheme="minorHAnsi" w:cstheme="minorBidi"/>
          <w:sz w:val="22"/>
          <w:szCs w:val="22"/>
        </w:rPr>
      </w:pPr>
      <w:r w:rsidRPr="00953798">
        <w:rPr>
          <w:rFonts w:asciiTheme="minorHAnsi" w:hAnsiTheme="minorHAnsi"/>
          <w:b/>
          <w:bCs/>
          <w:sz w:val="22"/>
          <w:szCs w:val="22"/>
        </w:rPr>
        <w:t>4.4</w:t>
      </w:r>
      <w:r w:rsidRPr="00953798">
        <w:rPr>
          <w:rFonts w:asciiTheme="minorHAnsi" w:hAnsiTheme="minorHAnsi"/>
          <w:bCs/>
          <w:sz w:val="22"/>
          <w:szCs w:val="22"/>
        </w:rPr>
        <w:t xml:space="preserve"> </w:t>
      </w:r>
      <w:r w:rsidRPr="00255EAE">
        <w:rPr>
          <w:rFonts w:asciiTheme="minorHAnsi" w:eastAsiaTheme="minorHAnsi" w:hAnsiTheme="minorHAnsi" w:cstheme="minorBidi"/>
          <w:sz w:val="22"/>
          <w:szCs w:val="22"/>
        </w:rPr>
        <w:t xml:space="preserve">PRP offers an honorarium for expert peer review of final reports of £100 per day (2 days max). Exceptionally, an honorarium of £250-£300 is offered to reviewers who take on a major final report at very short notice and prepare a review for an urgent deadline. </w:t>
      </w:r>
    </w:p>
    <w:p w:rsidR="00D520D6" w:rsidRPr="003E7D59" w:rsidRDefault="00D520D6" w:rsidP="00BB24D4">
      <w:pPr>
        <w:rPr>
          <w:b/>
        </w:rPr>
      </w:pPr>
      <w:r w:rsidRPr="003E7D59">
        <w:rPr>
          <w:b/>
        </w:rPr>
        <w:br w:type="page"/>
      </w:r>
      <w:r w:rsidRPr="003E7D59">
        <w:rPr>
          <w:b/>
        </w:rPr>
        <w:lastRenderedPageBreak/>
        <w:t>Annex 1</w:t>
      </w:r>
    </w:p>
    <w:p w:rsidR="00D520D6" w:rsidRPr="003E7D59" w:rsidRDefault="00D520D6" w:rsidP="00BB24D4">
      <w:pPr>
        <w:pStyle w:val="Heading2"/>
        <w:rPr>
          <w:rFonts w:asciiTheme="minorHAnsi" w:hAnsiTheme="minorHAnsi" w:cs="Times New Roman"/>
          <w:color w:val="auto"/>
          <w:sz w:val="22"/>
          <w:szCs w:val="22"/>
        </w:rPr>
      </w:pPr>
      <w:r w:rsidRPr="003E7D59">
        <w:rPr>
          <w:rFonts w:asciiTheme="minorHAnsi" w:hAnsiTheme="minorHAnsi" w:cs="Times New Roman"/>
          <w:color w:val="auto"/>
          <w:sz w:val="22"/>
          <w:szCs w:val="22"/>
        </w:rPr>
        <w:t>Payments to Referees</w:t>
      </w:r>
    </w:p>
    <w:p w:rsidR="00D520D6" w:rsidRPr="003E7D59" w:rsidRDefault="00D520D6" w:rsidP="00BB24D4">
      <w:r w:rsidRPr="003E7D59">
        <w:t xml:space="preserve">The following policy has been agreed by the </w:t>
      </w:r>
      <w:r w:rsidRPr="003E7D59">
        <w:rPr>
          <w:bCs/>
        </w:rPr>
        <w:t>Prof Dame Sally Davies, DH</w:t>
      </w:r>
      <w:r w:rsidRPr="003E7D59">
        <w:t>:</w:t>
      </w:r>
    </w:p>
    <w:p w:rsidR="00D520D6" w:rsidRPr="003E7D59" w:rsidRDefault="00D520D6" w:rsidP="00BB24D4">
      <w:pPr>
        <w:numPr>
          <w:ilvl w:val="0"/>
          <w:numId w:val="16"/>
        </w:numPr>
        <w:spacing w:after="0" w:line="240" w:lineRule="auto"/>
        <w:jc w:val="both"/>
      </w:pPr>
      <w:r w:rsidRPr="003E7D59">
        <w:t>payments are not offered in respect of refereeing single proposals for funding</w:t>
      </w:r>
    </w:p>
    <w:p w:rsidR="00D520D6" w:rsidRPr="003E7D59" w:rsidRDefault="00D520D6" w:rsidP="00BB24D4">
      <w:pPr>
        <w:numPr>
          <w:ilvl w:val="0"/>
          <w:numId w:val="16"/>
        </w:numPr>
        <w:spacing w:after="0" w:line="240" w:lineRule="auto"/>
        <w:jc w:val="both"/>
      </w:pPr>
      <w:r w:rsidRPr="003E7D59">
        <w:t>programme directors may authorise offers of payment for commenting on batches of proposals (or other excessively onerous requests of referees); such payments will be strictly on an honorarium (one off payment) basis and will not be expected to match the full consultancy rates for academic staff for the time involved; a notional level of £200 is suggested.  Payments will in general be made direct to the individual (the individual concerned will be responsible for declaring any payments received, for example to the Inland Revenue or to the Department for Work and Pensions)</w:t>
      </w:r>
    </w:p>
    <w:p w:rsidR="00D520D6" w:rsidRPr="003E7D59" w:rsidRDefault="00D520D6" w:rsidP="00BB24D4">
      <w:pPr>
        <w:numPr>
          <w:ilvl w:val="0"/>
          <w:numId w:val="16"/>
        </w:numPr>
        <w:spacing w:after="0" w:line="240" w:lineRule="auto"/>
        <w:jc w:val="both"/>
      </w:pPr>
      <w:r w:rsidRPr="003E7D59">
        <w:t>payments are not offered for membership of committees, except for patient and public involvement, locum fees for GPs and possibly similar payments to other self</w:t>
      </w:r>
      <w:r w:rsidRPr="003E7D59">
        <w:noBreakHyphen/>
        <w:t>employed committee members where this is necessary and appropriate</w:t>
      </w:r>
    </w:p>
    <w:p w:rsidR="00D520D6" w:rsidRPr="003E7D59" w:rsidRDefault="00D520D6" w:rsidP="00BB24D4">
      <w:pPr>
        <w:numPr>
          <w:ilvl w:val="0"/>
          <w:numId w:val="16"/>
        </w:numPr>
        <w:spacing w:after="0" w:line="240" w:lineRule="auto"/>
        <w:jc w:val="both"/>
      </w:pPr>
      <w:r w:rsidRPr="003E7D59">
        <w:t>payments may be offered for the services of those chairing committees; where the chairman is employed in an academic institution, payment should be through a contract to the academic institution, and should take account of the time the individual will devote outside formal committee meetings to the work of chairman</w:t>
      </w:r>
    </w:p>
    <w:p w:rsidR="00D520D6" w:rsidRPr="003E7D59" w:rsidRDefault="00D520D6" w:rsidP="00BB24D4">
      <w:pPr>
        <w:numPr>
          <w:ilvl w:val="0"/>
          <w:numId w:val="16"/>
        </w:numPr>
        <w:spacing w:after="0" w:line="240" w:lineRule="auto"/>
        <w:jc w:val="both"/>
      </w:pPr>
      <w:r w:rsidRPr="003E7D59">
        <w:t>payment may be offered to those providing "scientific editorial advice" on detailed final reports; an honorarium in the order of £200 for a major report is suggested; this would generally be paid direct to the individual concerned.</w:t>
      </w:r>
    </w:p>
    <w:p w:rsidR="00D520D6" w:rsidRPr="003E7D59" w:rsidRDefault="00D520D6" w:rsidP="00BB24D4">
      <w:pPr>
        <w:rPr>
          <w:rFonts w:cs="Arial"/>
        </w:rPr>
      </w:pPr>
    </w:p>
    <w:p w:rsidR="00D520D6" w:rsidRPr="003E7D59" w:rsidRDefault="00D520D6" w:rsidP="00BB24D4">
      <w:pPr>
        <w:rPr>
          <w:b/>
        </w:rPr>
      </w:pPr>
      <w:r w:rsidRPr="003E7D59">
        <w:rPr>
          <w:rFonts w:cs="Arial"/>
        </w:rPr>
        <w:br w:type="page"/>
      </w:r>
      <w:r w:rsidRPr="003E7D59">
        <w:rPr>
          <w:b/>
        </w:rPr>
        <w:lastRenderedPageBreak/>
        <w:t>Annex 2</w:t>
      </w:r>
    </w:p>
    <w:p w:rsidR="00D520D6" w:rsidRPr="003E7D59" w:rsidRDefault="00D520D6" w:rsidP="00BB24D4">
      <w:pPr>
        <w:rPr>
          <w:b/>
        </w:rPr>
      </w:pPr>
      <w:r w:rsidRPr="003E7D59">
        <w:rPr>
          <w:b/>
        </w:rPr>
        <w:t>NCCHTA Payment to experts</w:t>
      </w:r>
    </w:p>
    <w:p w:rsidR="00D520D6" w:rsidRPr="003E7D59" w:rsidRDefault="00D520D6" w:rsidP="00BB24D4">
      <w:pPr>
        <w:numPr>
          <w:ilvl w:val="0"/>
          <w:numId w:val="17"/>
        </w:numPr>
        <w:spacing w:after="0" w:line="240" w:lineRule="auto"/>
        <w:jc w:val="both"/>
      </w:pPr>
      <w:r w:rsidRPr="003E7D59">
        <w:t>This paper summarises the current position of the HTA programme in respect of payment to experts.</w:t>
      </w:r>
    </w:p>
    <w:p w:rsidR="00D520D6" w:rsidRPr="003E7D59" w:rsidRDefault="00D520D6" w:rsidP="00BB24D4">
      <w:pPr>
        <w:numPr>
          <w:ilvl w:val="0"/>
          <w:numId w:val="17"/>
        </w:numPr>
        <w:spacing w:after="0" w:line="240" w:lineRule="auto"/>
        <w:jc w:val="both"/>
      </w:pPr>
      <w:r w:rsidRPr="003E7D59">
        <w:rPr>
          <w:i/>
          <w:iCs/>
        </w:rPr>
        <w:t>Prioritisation Panels</w:t>
      </w:r>
      <w:r w:rsidRPr="003E7D59">
        <w:t>: membership is on a voluntary basis with travel expenses reimbursed by the DH.  For General Practitioners there is the opportunity to claim for the cost of a locum employed to provide cover for the day of the panel meeting.  For other panel members payment will be made for attendance at panel meetings (or panel briefing days if arranged) in the event that the person is not in receipt of a full time salary from public funds.  In effect, this means that payment of fees is limited to consumer members.  Payment can be made direct to the consumer or to a consumer member's employing organisation.  The fee is liable to income tax and National Insurance contributions.  With effect from June 2006, the daily attendance rate payable, including preparation work required for the meeting, is £150.</w:t>
      </w:r>
    </w:p>
    <w:p w:rsidR="00D520D6" w:rsidRPr="003E7D59" w:rsidRDefault="00D520D6" w:rsidP="00BB24D4">
      <w:pPr>
        <w:numPr>
          <w:ilvl w:val="0"/>
          <w:numId w:val="17"/>
        </w:numPr>
        <w:spacing w:after="0" w:line="240" w:lineRule="auto"/>
        <w:jc w:val="both"/>
      </w:pPr>
      <w:r w:rsidRPr="003E7D59">
        <w:rPr>
          <w:i/>
          <w:iCs/>
        </w:rPr>
        <w:t>Vignettes</w:t>
      </w:r>
      <w:r w:rsidRPr="003E7D59">
        <w:t>: DH agreed in 2003 to payment of £50</w:t>
      </w:r>
      <w:r w:rsidRPr="003E7D59">
        <w:rPr>
          <w:rStyle w:val="FootnoteReference"/>
        </w:rPr>
        <w:footnoteReference w:id="1"/>
      </w:r>
      <w:r w:rsidRPr="003E7D59">
        <w:t xml:space="preserve"> for consumer expert review as of October 2003.</w:t>
      </w:r>
    </w:p>
    <w:p w:rsidR="00D520D6" w:rsidRPr="003E7D59" w:rsidRDefault="00D520D6" w:rsidP="00BB24D4">
      <w:pPr>
        <w:numPr>
          <w:ilvl w:val="0"/>
          <w:numId w:val="17"/>
        </w:numPr>
        <w:spacing w:after="0" w:line="240" w:lineRule="auto"/>
        <w:jc w:val="both"/>
      </w:pPr>
      <w:r w:rsidRPr="003E7D59">
        <w:rPr>
          <w:i/>
        </w:rPr>
        <w:t xml:space="preserve">Commissioning: Board </w:t>
      </w:r>
      <w:r w:rsidRPr="003E7D59">
        <w:t>membership is on a voluntary basis with travel expenses reimbursed by the DH (there is no Consumer representation on the Commissioning Board).  No payment to non</w:t>
      </w:r>
      <w:r w:rsidRPr="003E7D59">
        <w:noBreakHyphen/>
        <w:t>consumer referees for peer review of proposals.  As of October 2003 consumers to be offered payment of £100</w:t>
      </w:r>
      <w:r w:rsidRPr="003E7D59">
        <w:rPr>
          <w:rStyle w:val="FootnoteReference"/>
        </w:rPr>
        <w:footnoteReference w:id="2"/>
      </w:r>
      <w:r w:rsidRPr="003E7D59">
        <w:t xml:space="preserve"> per topic (maximum of 4 proposals per topic) in line with DH</w:t>
      </w:r>
      <w:r w:rsidRPr="003E7D59">
        <w:noBreakHyphen/>
        <w:t>agreed policy.</w:t>
      </w:r>
    </w:p>
    <w:p w:rsidR="00D520D6" w:rsidRPr="003E7D59" w:rsidRDefault="00D520D6" w:rsidP="00BB24D4">
      <w:pPr>
        <w:numPr>
          <w:ilvl w:val="0"/>
          <w:numId w:val="17"/>
        </w:numPr>
        <w:spacing w:after="0" w:line="240" w:lineRule="auto"/>
        <w:jc w:val="both"/>
      </w:pPr>
      <w:r w:rsidRPr="003E7D59">
        <w:rPr>
          <w:i/>
          <w:iCs/>
        </w:rPr>
        <w:t>Assessment</w:t>
      </w:r>
      <w:r w:rsidRPr="003E7D59">
        <w:t>: payment to referees of a £200</w:t>
      </w:r>
      <w:r w:rsidRPr="003E7D59">
        <w:rPr>
          <w:rStyle w:val="FootnoteReference"/>
        </w:rPr>
        <w:footnoteReference w:id="3"/>
      </w:r>
      <w:r w:rsidRPr="003E7D59">
        <w:t xml:space="preserve"> honorarium for the assessment of a draft final report if:</w:t>
      </w:r>
    </w:p>
    <w:p w:rsidR="00D520D6" w:rsidRPr="003E7D59" w:rsidRDefault="00D520D6" w:rsidP="003A0CC1">
      <w:pPr>
        <w:tabs>
          <w:tab w:val="left" w:pos="720"/>
        </w:tabs>
        <w:spacing w:after="0"/>
        <w:ind w:left="720" w:hanging="289"/>
        <w:jc w:val="both"/>
      </w:pPr>
      <w:r w:rsidRPr="003E7D59">
        <w:t>a.</w:t>
      </w:r>
      <w:r w:rsidRPr="003E7D59">
        <w:tab/>
        <w:t>the size of the report is greater than 200 sides (including appendices); or</w:t>
      </w:r>
    </w:p>
    <w:p w:rsidR="00D520D6" w:rsidRPr="003E7D59" w:rsidRDefault="00D520D6" w:rsidP="003A0CC1">
      <w:pPr>
        <w:tabs>
          <w:tab w:val="left" w:pos="720"/>
        </w:tabs>
        <w:spacing w:after="0"/>
        <w:ind w:left="720" w:hanging="289"/>
        <w:jc w:val="both"/>
      </w:pPr>
      <w:r w:rsidRPr="003E7D59">
        <w:t>b.</w:t>
      </w:r>
      <w:r w:rsidRPr="003E7D59">
        <w:tab/>
        <w:t>an assessor is asked to referee a draft final report on more than one occasion in a six</w:t>
      </w:r>
      <w:r w:rsidRPr="003E7D59">
        <w:noBreakHyphen/>
        <w:t>month period; or</w:t>
      </w:r>
    </w:p>
    <w:p w:rsidR="00D520D6" w:rsidRPr="003E7D59" w:rsidRDefault="00D520D6" w:rsidP="003A0CC1">
      <w:pPr>
        <w:tabs>
          <w:tab w:val="left" w:pos="720"/>
        </w:tabs>
        <w:spacing w:after="0"/>
        <w:ind w:left="720" w:hanging="289"/>
        <w:jc w:val="both"/>
      </w:pPr>
      <w:r w:rsidRPr="003E7D59">
        <w:t>c.</w:t>
      </w:r>
      <w:r w:rsidRPr="003E7D59">
        <w:tab/>
        <w:t>there is a particular urgency for the assessors' comments; or</w:t>
      </w:r>
    </w:p>
    <w:p w:rsidR="00D520D6" w:rsidRPr="003E7D59" w:rsidRDefault="00D520D6" w:rsidP="003A0CC1">
      <w:pPr>
        <w:tabs>
          <w:tab w:val="left" w:pos="720"/>
        </w:tabs>
        <w:spacing w:after="0"/>
        <w:ind w:left="720" w:hanging="289"/>
        <w:jc w:val="both"/>
      </w:pPr>
      <w:r w:rsidRPr="003E7D59">
        <w:t>d.</w:t>
      </w:r>
      <w:r w:rsidRPr="003E7D59">
        <w:tab/>
        <w:t>a combination of any of the above criteria</w:t>
      </w:r>
    </w:p>
    <w:p w:rsidR="00D520D6" w:rsidRPr="003E7D59" w:rsidRDefault="00D520D6" w:rsidP="00BB24D4">
      <w:pPr>
        <w:numPr>
          <w:ilvl w:val="0"/>
          <w:numId w:val="17"/>
        </w:numPr>
        <w:spacing w:after="0" w:line="240" w:lineRule="auto"/>
        <w:jc w:val="both"/>
      </w:pPr>
      <w:r w:rsidRPr="003E7D59">
        <w:rPr>
          <w:i/>
        </w:rPr>
        <w:t xml:space="preserve">Assessment (consumers): </w:t>
      </w:r>
      <w:r w:rsidRPr="003E7D59">
        <w:t>in addition to the above policy, DH has agreed that consumer peer reviewers can be offered payment of a £100</w:t>
      </w:r>
      <w:r w:rsidRPr="003E7D59">
        <w:noBreakHyphen/>
        <w:t>200</w:t>
      </w:r>
      <w:r w:rsidRPr="003E7D59">
        <w:rPr>
          <w:rStyle w:val="FootnoteReference"/>
        </w:rPr>
        <w:footnoteReference w:id="4"/>
      </w:r>
      <w:r w:rsidRPr="003E7D59">
        <w:t xml:space="preserve"> honorarium for peer review of a draft final report.  The £200 fee to apply when the criterion at 5a (above) applies.</w:t>
      </w:r>
    </w:p>
    <w:p w:rsidR="00D520D6" w:rsidRPr="003E7D59" w:rsidRDefault="00D520D6" w:rsidP="00BB24D4">
      <w:pPr>
        <w:numPr>
          <w:ilvl w:val="0"/>
          <w:numId w:val="17"/>
        </w:numPr>
        <w:spacing w:after="0" w:line="240" w:lineRule="auto"/>
        <w:jc w:val="both"/>
      </w:pPr>
      <w:r w:rsidRPr="003E7D59">
        <w:t>The above system is in line with DH guidance on payment of experts.  DH has advised that payment of a one</w:t>
      </w:r>
      <w:r w:rsidRPr="003E7D59">
        <w:noBreakHyphen/>
        <w:t>off honorarium for peer review is exempt from liability for tax and NI (which does affect, for example, the payment of a fee for committee attendance).  The honoraria payable from the HTA budget to be paid in the first instance from the NCCHTA budget and reclaimed at appropriate times within the financial year.</w:t>
      </w:r>
    </w:p>
    <w:p w:rsidR="00D520D6" w:rsidRPr="003E7D59" w:rsidRDefault="00D520D6" w:rsidP="00BB24D4">
      <w:pPr>
        <w:numPr>
          <w:ilvl w:val="0"/>
          <w:numId w:val="17"/>
        </w:numPr>
        <w:spacing w:after="0" w:line="240" w:lineRule="auto"/>
        <w:jc w:val="both"/>
      </w:pPr>
      <w:r w:rsidRPr="003E7D59">
        <w:t>Whilst declining refereeing jobs on the grounds of payment remains the exception rather than the rule, NCCHTA has agreed to keep a record of those who do so in order to monitor whether this becomes a growing trend.</w:t>
      </w:r>
    </w:p>
    <w:p w:rsidR="00D520D6" w:rsidRPr="003E7D59" w:rsidRDefault="00D520D6" w:rsidP="00BB24D4">
      <w:pPr>
        <w:jc w:val="right"/>
      </w:pPr>
      <w:r w:rsidRPr="003E7D59">
        <w:t>Joy Stokes</w:t>
      </w:r>
    </w:p>
    <w:p w:rsidR="00D520D6" w:rsidRPr="003E7D59" w:rsidRDefault="00D520D6" w:rsidP="00BB24D4">
      <w:pPr>
        <w:jc w:val="right"/>
      </w:pPr>
      <w:r w:rsidRPr="003E7D59">
        <w:t>October 2002, Revised: September 2003, June 2006</w:t>
      </w:r>
    </w:p>
    <w:p w:rsidR="003A0CC1" w:rsidRDefault="003A0CC1">
      <w:pPr>
        <w:rPr>
          <w:b/>
          <w:sz w:val="28"/>
          <w:szCs w:val="28"/>
          <w:u w:val="single"/>
        </w:rPr>
      </w:pPr>
      <w:r>
        <w:rPr>
          <w:b/>
          <w:sz w:val="28"/>
          <w:szCs w:val="28"/>
          <w:u w:val="single"/>
        </w:rPr>
        <w:br w:type="page"/>
      </w:r>
    </w:p>
    <w:p w:rsidR="007D1F5F" w:rsidRPr="003E7D59" w:rsidRDefault="007D1F5F" w:rsidP="00BB24D4">
      <w:pPr>
        <w:ind w:left="2127" w:hanging="2127"/>
        <w:rPr>
          <w:b/>
          <w:sz w:val="28"/>
          <w:szCs w:val="28"/>
          <w:u w:val="single"/>
        </w:rPr>
      </w:pPr>
      <w:r w:rsidRPr="003E7D59">
        <w:rPr>
          <w:b/>
          <w:sz w:val="28"/>
          <w:szCs w:val="28"/>
          <w:u w:val="single"/>
        </w:rPr>
        <w:lastRenderedPageBreak/>
        <w:t>Standard Operating Procedure Number 6</w:t>
      </w:r>
    </w:p>
    <w:p w:rsidR="007B42B2" w:rsidRPr="003E7D59" w:rsidRDefault="007D1F5F" w:rsidP="003A0CC1">
      <w:pPr>
        <w:rPr>
          <w:b/>
          <w:sz w:val="28"/>
          <w:szCs w:val="28"/>
        </w:rPr>
      </w:pPr>
      <w:r w:rsidRPr="00255EAE">
        <w:rPr>
          <w:b/>
          <w:sz w:val="28"/>
          <w:szCs w:val="28"/>
        </w:rPr>
        <w:t xml:space="preserve">Complaints by individuals seeking NIHR or PRP funding </w:t>
      </w:r>
    </w:p>
    <w:p w:rsidR="007B42B2" w:rsidRPr="003E7D59" w:rsidRDefault="007B42B2" w:rsidP="00BB24D4">
      <w:pPr>
        <w:pStyle w:val="BodyText"/>
        <w:numPr>
          <w:ilvl w:val="0"/>
          <w:numId w:val="21"/>
        </w:numPr>
        <w:rPr>
          <w:rFonts w:asciiTheme="minorHAnsi" w:hAnsiTheme="minorHAnsi"/>
          <w:b/>
          <w:bCs/>
          <w:sz w:val="28"/>
          <w:szCs w:val="28"/>
        </w:rPr>
      </w:pPr>
      <w:r w:rsidRPr="003E7D59">
        <w:rPr>
          <w:rFonts w:asciiTheme="minorHAnsi" w:hAnsiTheme="minorHAnsi"/>
          <w:b/>
          <w:bCs/>
          <w:sz w:val="28"/>
        </w:rPr>
        <w:t>Background</w:t>
      </w:r>
    </w:p>
    <w:p w:rsidR="007B42B2" w:rsidRPr="00255EAE" w:rsidRDefault="007B42B2" w:rsidP="00BB24D4">
      <w:pPr>
        <w:spacing w:after="120"/>
        <w:jc w:val="both"/>
        <w:rPr>
          <w:bCs/>
        </w:rPr>
      </w:pPr>
      <w:r w:rsidRPr="00255EAE">
        <w:rPr>
          <w:bCs/>
        </w:rPr>
        <w:t xml:space="preserve">This standard operating procedure covers complaints received by the CCF from individuals seeking NIHR or PRP funding. </w:t>
      </w:r>
    </w:p>
    <w:p w:rsidR="007B42B2" w:rsidRPr="00255EAE" w:rsidRDefault="007B42B2" w:rsidP="00BB24D4">
      <w:pPr>
        <w:pStyle w:val="BodyText"/>
        <w:numPr>
          <w:ilvl w:val="0"/>
          <w:numId w:val="21"/>
        </w:numPr>
        <w:rPr>
          <w:rFonts w:asciiTheme="minorHAnsi" w:hAnsiTheme="minorHAnsi"/>
          <w:b/>
          <w:bCs/>
          <w:sz w:val="28"/>
        </w:rPr>
      </w:pPr>
      <w:r w:rsidRPr="003E7D59">
        <w:rPr>
          <w:rFonts w:asciiTheme="minorHAnsi" w:hAnsiTheme="minorHAnsi"/>
          <w:b/>
          <w:bCs/>
          <w:sz w:val="28"/>
        </w:rPr>
        <w:t>Policy</w:t>
      </w:r>
    </w:p>
    <w:p w:rsidR="007B42B2" w:rsidRPr="00255EAE" w:rsidRDefault="007B42B2" w:rsidP="00BB24D4">
      <w:pPr>
        <w:spacing w:after="120"/>
        <w:jc w:val="both"/>
        <w:rPr>
          <w:bCs/>
        </w:rPr>
      </w:pPr>
      <w:r w:rsidRPr="00255EAE">
        <w:rPr>
          <w:bCs/>
        </w:rPr>
        <w:t xml:space="preserve">It is important that CCF has a consistent approach to addressing complaints and that complainants have a clear idea of what to expect when they make a complaint. </w:t>
      </w:r>
    </w:p>
    <w:p w:rsidR="007B42B2" w:rsidRPr="00255EAE" w:rsidRDefault="007B42B2" w:rsidP="00BB24D4">
      <w:pPr>
        <w:spacing w:after="120"/>
        <w:jc w:val="both"/>
        <w:rPr>
          <w:bCs/>
        </w:rPr>
      </w:pPr>
      <w:r w:rsidRPr="00255EAE">
        <w:rPr>
          <w:bCs/>
        </w:rPr>
        <w:t xml:space="preserve">From a legal point of view, it is essential that the CCF does not admit liability for any action until it has been properly investigated. </w:t>
      </w:r>
    </w:p>
    <w:p w:rsidR="007B42B2" w:rsidRPr="00255EAE" w:rsidRDefault="007B42B2" w:rsidP="00BB24D4">
      <w:pPr>
        <w:spacing w:after="120"/>
        <w:jc w:val="both"/>
        <w:rPr>
          <w:bCs/>
        </w:rPr>
      </w:pPr>
      <w:r w:rsidRPr="00255EAE">
        <w:rPr>
          <w:bCs/>
        </w:rPr>
        <w:t xml:space="preserve">The NIHR-CCF's definition of complaint is “…an expression of dissatisfaction or finding of fault with the standard of service, actions or lack of actions by staff in the NIHR-CCF.” Complaints will generally include the following: </w:t>
      </w:r>
    </w:p>
    <w:p w:rsidR="007B42B2" w:rsidRPr="00255EAE" w:rsidRDefault="007B42B2" w:rsidP="00BB24D4">
      <w:pPr>
        <w:numPr>
          <w:ilvl w:val="0"/>
          <w:numId w:val="20"/>
        </w:numPr>
        <w:ind w:left="714" w:hanging="357"/>
        <w:jc w:val="both"/>
      </w:pPr>
      <w:r w:rsidRPr="00255EAE">
        <w:t>Operation of process: failure to follow the NIHR-CCF’s written guidelines and/or procedures; neglect or unreasonable delay in answering a query or responding to a request for service.</w:t>
      </w:r>
    </w:p>
    <w:p w:rsidR="007B42B2" w:rsidRDefault="007B42B2" w:rsidP="00BB24D4">
      <w:pPr>
        <w:numPr>
          <w:ilvl w:val="0"/>
          <w:numId w:val="20"/>
        </w:numPr>
        <w:ind w:left="714" w:hanging="357"/>
        <w:jc w:val="both"/>
      </w:pPr>
      <w:r w:rsidRPr="00255EAE">
        <w:t>Conduct of staff: the unhelpful or insensitive attitude of a member of NIHR-CCF staff, or any other conduct issue.</w:t>
      </w:r>
    </w:p>
    <w:p w:rsidR="007B42B2" w:rsidRPr="003E7D59" w:rsidRDefault="007B42B2" w:rsidP="00BB24D4">
      <w:pPr>
        <w:numPr>
          <w:ilvl w:val="0"/>
          <w:numId w:val="19"/>
        </w:numPr>
        <w:spacing w:before="100" w:beforeAutospacing="1" w:after="100" w:afterAutospacing="1" w:line="240" w:lineRule="auto"/>
        <w:ind w:left="714" w:hanging="357"/>
        <w:jc w:val="both"/>
      </w:pPr>
      <w:r w:rsidRPr="003E7D59">
        <w:t xml:space="preserve">Disagreements with a funding decision made by one of the NIHR or PRP Programme Panels or Committees. </w:t>
      </w:r>
    </w:p>
    <w:p w:rsidR="007B42B2" w:rsidRPr="00255EAE" w:rsidRDefault="007B42B2" w:rsidP="00BB24D4">
      <w:pPr>
        <w:pStyle w:val="BodyText"/>
        <w:numPr>
          <w:ilvl w:val="0"/>
          <w:numId w:val="21"/>
        </w:numPr>
        <w:rPr>
          <w:rFonts w:asciiTheme="minorHAnsi" w:hAnsiTheme="minorHAnsi"/>
          <w:b/>
          <w:bCs/>
          <w:sz w:val="28"/>
        </w:rPr>
      </w:pPr>
      <w:r w:rsidRPr="003E7D59">
        <w:rPr>
          <w:rFonts w:asciiTheme="minorHAnsi" w:hAnsiTheme="minorHAnsi"/>
          <w:b/>
          <w:bCs/>
          <w:sz w:val="28"/>
        </w:rPr>
        <w:t>Procedure</w:t>
      </w:r>
    </w:p>
    <w:p w:rsidR="007B42B2" w:rsidRPr="00255EAE" w:rsidRDefault="007B42B2" w:rsidP="00BB24D4">
      <w:pPr>
        <w:pStyle w:val="BodyText"/>
        <w:spacing w:after="200" w:line="276" w:lineRule="auto"/>
        <w:jc w:val="both"/>
        <w:rPr>
          <w:rFonts w:asciiTheme="minorHAnsi" w:eastAsiaTheme="minorHAnsi" w:hAnsiTheme="minorHAnsi" w:cstheme="minorBidi"/>
          <w:bCs/>
          <w:sz w:val="22"/>
          <w:szCs w:val="22"/>
        </w:rPr>
      </w:pPr>
      <w:r w:rsidRPr="003E7D59">
        <w:rPr>
          <w:rFonts w:asciiTheme="minorHAnsi" w:hAnsiTheme="minorHAnsi"/>
          <w:b/>
          <w:bCs/>
        </w:rPr>
        <w:t xml:space="preserve">3.1 </w:t>
      </w:r>
      <w:r w:rsidRPr="00255EAE">
        <w:rPr>
          <w:rFonts w:asciiTheme="minorHAnsi" w:eastAsiaTheme="minorHAnsi" w:hAnsiTheme="minorHAnsi" w:cstheme="minorBidi"/>
          <w:bCs/>
          <w:sz w:val="22"/>
          <w:szCs w:val="22"/>
        </w:rPr>
        <w:t xml:space="preserve">The CCF has a written procedure for handling complaints and the steps to be taken are described below and summarised in the accompanying flow chart. All complaints must be fully documented in the complaints excel spreadsheet </w:t>
      </w:r>
      <w:r w:rsidR="00ED1099" w:rsidRPr="00255EAE">
        <w:rPr>
          <w:rFonts w:asciiTheme="minorHAnsi" w:eastAsiaTheme="minorHAnsi" w:hAnsiTheme="minorHAnsi" w:cstheme="minorBidi"/>
          <w:bCs/>
          <w:sz w:val="22"/>
          <w:szCs w:val="22"/>
        </w:rPr>
        <w:t>Electronic location</w:t>
      </w:r>
      <w:r w:rsidRPr="00255EAE">
        <w:rPr>
          <w:rFonts w:asciiTheme="minorHAnsi" w:eastAsiaTheme="minorHAnsi" w:hAnsiTheme="minorHAnsi" w:cstheme="minorBidi"/>
          <w:bCs/>
          <w:sz w:val="22"/>
          <w:szCs w:val="22"/>
        </w:rPr>
        <w:t>. Guidance notes for completion of this are included in the spreadsheet.</w:t>
      </w:r>
    </w:p>
    <w:p w:rsidR="007B42B2" w:rsidRPr="00255EAE" w:rsidRDefault="007B42B2" w:rsidP="00BB24D4">
      <w:pPr>
        <w:pStyle w:val="BodyText"/>
        <w:spacing w:after="200" w:line="276" w:lineRule="auto"/>
        <w:jc w:val="both"/>
        <w:rPr>
          <w:rFonts w:asciiTheme="minorHAnsi" w:eastAsiaTheme="minorHAnsi" w:hAnsiTheme="minorHAnsi" w:cstheme="minorBidi"/>
          <w:bCs/>
          <w:sz w:val="22"/>
          <w:szCs w:val="22"/>
        </w:rPr>
      </w:pPr>
      <w:r w:rsidRPr="003E7D59">
        <w:rPr>
          <w:rFonts w:asciiTheme="minorHAnsi" w:hAnsiTheme="minorHAnsi"/>
          <w:b/>
          <w:bCs/>
        </w:rPr>
        <w:t xml:space="preserve">3.2 </w:t>
      </w:r>
      <w:r w:rsidRPr="00255EAE">
        <w:rPr>
          <w:rFonts w:asciiTheme="minorHAnsi" w:eastAsiaTheme="minorHAnsi" w:hAnsiTheme="minorHAnsi" w:cstheme="minorBidi"/>
          <w:bCs/>
          <w:sz w:val="22"/>
          <w:szCs w:val="22"/>
        </w:rPr>
        <w:t>On receiving a complaint: the person receiving the complaint must first assign the complaint to one of these categories: operation of process; conduct of staff; disagreement with funding decision. Anything falling outside these categories is not treated as a complaint</w:t>
      </w:r>
    </w:p>
    <w:p w:rsidR="007B42B2" w:rsidRPr="00255EAE" w:rsidRDefault="007B42B2" w:rsidP="00BB24D4">
      <w:pPr>
        <w:spacing w:after="0"/>
        <w:rPr>
          <w:b/>
          <w:bCs/>
        </w:rPr>
      </w:pPr>
      <w:r w:rsidRPr="00255EAE">
        <w:rPr>
          <w:b/>
          <w:bCs/>
        </w:rPr>
        <w:t xml:space="preserve">For complaints about operation of processes: </w:t>
      </w:r>
    </w:p>
    <w:p w:rsidR="007B42B2" w:rsidRPr="00255EAE" w:rsidRDefault="007B42B2" w:rsidP="00BB24D4">
      <w:pPr>
        <w:spacing w:after="120"/>
        <w:jc w:val="both"/>
        <w:rPr>
          <w:bCs/>
        </w:rPr>
      </w:pPr>
      <w:r w:rsidRPr="00255EAE">
        <w:rPr>
          <w:bCs/>
        </w:rPr>
        <w:t>Complaints must be made in writing, by email or by fax; telephone enquirers must be asked to make their complaint in writing to the person dealing with the enquiry, or their line manager. Complaints about operation of processes are logged in the complaints excel spreadsheet on the day of receipt of written complaint. An acknowledgement is sent within 2 working days of receipt of written complaint. The complaint is referred to the Senior Programme Manager for the relevant Programme (or next in chain of command). The Senior Programme Manager will respond appropriately to the complainant within 7 working days of the complaint being received. All responses must be confirmed in writing (email/letter)</w:t>
      </w:r>
    </w:p>
    <w:p w:rsidR="007B42B2" w:rsidRPr="00255EAE" w:rsidRDefault="007B42B2" w:rsidP="00BB24D4">
      <w:pPr>
        <w:spacing w:after="0"/>
        <w:rPr>
          <w:b/>
          <w:bCs/>
        </w:rPr>
      </w:pPr>
      <w:r w:rsidRPr="00255EAE">
        <w:rPr>
          <w:b/>
          <w:bCs/>
        </w:rPr>
        <w:lastRenderedPageBreak/>
        <w:t>For complaints about conduct of staff:</w:t>
      </w:r>
    </w:p>
    <w:p w:rsidR="007B42B2" w:rsidRPr="00255EAE" w:rsidRDefault="007B42B2" w:rsidP="00BB24D4">
      <w:pPr>
        <w:spacing w:after="120"/>
        <w:jc w:val="both"/>
        <w:rPr>
          <w:bCs/>
        </w:rPr>
      </w:pPr>
      <w:r w:rsidRPr="00255EAE">
        <w:rPr>
          <w:bCs/>
        </w:rPr>
        <w:t>Complaints must be made in writing, by email or by fax; telephone enquirers must be asked to make their complaint in writing to the person dealing with the enquiry, or their line manager. Complaints about the conduct of staff are logged in the complaints excel spreadsheet on the day of receipt of written complaint by the individual’s line manager. The individual is not named. The individual’s line manager will respond appropriately to the complainant within 7 working days of the complaint being received. All responses must be confirmed in writing (email/letter).</w:t>
      </w:r>
    </w:p>
    <w:p w:rsidR="00255EAE" w:rsidRDefault="007B42B2" w:rsidP="00BB24D4">
      <w:pPr>
        <w:spacing w:after="0"/>
        <w:rPr>
          <w:b/>
          <w:bCs/>
        </w:rPr>
      </w:pPr>
      <w:r w:rsidRPr="00255EAE">
        <w:rPr>
          <w:b/>
          <w:bCs/>
        </w:rPr>
        <w:t xml:space="preserve">For disagreement with funding decision: </w:t>
      </w:r>
    </w:p>
    <w:p w:rsidR="007B42B2" w:rsidRPr="00255EAE" w:rsidRDefault="00255EAE" w:rsidP="00BB24D4">
      <w:pPr>
        <w:jc w:val="both"/>
        <w:rPr>
          <w:b/>
          <w:bCs/>
        </w:rPr>
      </w:pPr>
      <w:r>
        <w:t>Comments</w:t>
      </w:r>
      <w:r w:rsidR="007B42B2" w:rsidRPr="003E7D59">
        <w:t xml:space="preserve"> must be made in writing, by email or by fax; telephone enquirers must be asked to make their </w:t>
      </w:r>
      <w:r>
        <w:t>comment</w:t>
      </w:r>
      <w:r w:rsidR="007B42B2" w:rsidRPr="003E7D59">
        <w:t xml:space="preserve"> in writing to the person dealing with the enquiry, or their line manager. The correspondence is then forwarded to the relevant Programme Director within 2 working days of receipt, copied to the relevant Senior Programme Manager. These are not logged on the complaints excel spreadsheet. The Programme Director will make the response to the enquirer, via the CCF. The Programme Director may refer the correspondence to the DH Director of R&amp;D. The role of the CCF is to administer and communicate the response to the enquirer.</w:t>
      </w:r>
    </w:p>
    <w:p w:rsidR="007B42B2" w:rsidRPr="00255EAE" w:rsidRDefault="007B42B2" w:rsidP="00BB24D4">
      <w:pPr>
        <w:spacing w:after="120"/>
        <w:jc w:val="both"/>
      </w:pPr>
      <w:r w:rsidRPr="003E7D59">
        <w:rPr>
          <w:b/>
        </w:rPr>
        <w:t>3.5</w:t>
      </w:r>
      <w:r w:rsidRPr="003E7D59">
        <w:t xml:space="preserve"> </w:t>
      </w:r>
      <w:r w:rsidRPr="00255EAE">
        <w:t>In the event that the published timescale for response cannot be met, the complainant must be informed of the delay and the reason it has occurred and given a new date for receipt of the response.</w:t>
      </w:r>
    </w:p>
    <w:p w:rsidR="00FD1471" w:rsidRPr="003E7D59" w:rsidRDefault="007B42B2" w:rsidP="00BB24D4">
      <w:pPr>
        <w:jc w:val="both"/>
        <w:rPr>
          <w:sz w:val="28"/>
          <w:szCs w:val="28"/>
        </w:rPr>
      </w:pPr>
      <w:r w:rsidRPr="003E7D59">
        <w:rPr>
          <w:b/>
        </w:rPr>
        <w:t>3.6</w:t>
      </w:r>
      <w:r w:rsidRPr="003E7D59">
        <w:t xml:space="preserve"> Chain of command for all matters concerning complaints: Administrator, Programme Manager, Senior Programme Manager, Deputy Director, Director.</w:t>
      </w:r>
    </w:p>
    <w:sectPr w:rsidR="00FD1471" w:rsidRPr="003E7D59" w:rsidSect="00D520D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509" w:rsidRDefault="00E32509" w:rsidP="0018495A">
      <w:pPr>
        <w:spacing w:after="0" w:line="240" w:lineRule="auto"/>
      </w:pPr>
      <w:r>
        <w:separator/>
      </w:r>
    </w:p>
  </w:endnote>
  <w:endnote w:type="continuationSeparator" w:id="0">
    <w:p w:rsidR="00E32509" w:rsidRDefault="00E32509" w:rsidP="00184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C1" w:rsidRPr="00B804AF" w:rsidRDefault="00D91125" w:rsidP="009E2DF5">
    <w:pPr>
      <w:pStyle w:val="Footer"/>
      <w:tabs>
        <w:tab w:val="right" w:pos="9000"/>
        <w:tab w:val="right" w:pos="9639"/>
      </w:tabs>
      <w:ind w:right="423"/>
      <w:jc w:val="center"/>
      <w:rPr>
        <w:i/>
        <w:snapToGrid w:val="0"/>
        <w:color w:val="000000"/>
        <w:sz w:val="18"/>
      </w:rPr>
    </w:pPr>
    <w:r w:rsidRPr="00B804AF">
      <w:rPr>
        <w:i/>
        <w:snapToGrid w:val="0"/>
        <w:color w:val="000000"/>
        <w:sz w:val="18"/>
      </w:rPr>
      <w:fldChar w:fldCharType="begin"/>
    </w:r>
    <w:r w:rsidR="003A0CC1" w:rsidRPr="00B804AF">
      <w:rPr>
        <w:i/>
        <w:snapToGrid w:val="0"/>
        <w:color w:val="000000"/>
        <w:sz w:val="18"/>
      </w:rPr>
      <w:instrText xml:space="preserve"> PAGE </w:instrText>
    </w:r>
    <w:r w:rsidRPr="00B804AF">
      <w:rPr>
        <w:i/>
        <w:snapToGrid w:val="0"/>
        <w:color w:val="000000"/>
        <w:sz w:val="18"/>
      </w:rPr>
      <w:fldChar w:fldCharType="separate"/>
    </w:r>
    <w:r w:rsidR="00196A60">
      <w:rPr>
        <w:i/>
        <w:noProof/>
        <w:snapToGrid w:val="0"/>
        <w:color w:val="000000"/>
        <w:sz w:val="18"/>
      </w:rPr>
      <w:t>2</w:t>
    </w:r>
    <w:r w:rsidRPr="00B804AF">
      <w:rPr>
        <w:i/>
        <w:snapToGrid w:val="0"/>
        <w:color w:val="000000"/>
        <w:sz w:val="18"/>
      </w:rPr>
      <w:fldChar w:fldCharType="end"/>
    </w:r>
    <w:r w:rsidR="003A0CC1" w:rsidRPr="00B804AF">
      <w:rPr>
        <w:i/>
        <w:snapToGrid w:val="0"/>
        <w:color w:val="000000"/>
        <w:sz w:val="18"/>
      </w:rPr>
      <w:t xml:space="preserve"> of </w:t>
    </w:r>
    <w:r w:rsidRPr="00B804AF">
      <w:rPr>
        <w:i/>
        <w:snapToGrid w:val="0"/>
        <w:color w:val="000000"/>
        <w:sz w:val="18"/>
      </w:rPr>
      <w:fldChar w:fldCharType="begin"/>
    </w:r>
    <w:r w:rsidR="003A0CC1" w:rsidRPr="00B804AF">
      <w:rPr>
        <w:i/>
        <w:snapToGrid w:val="0"/>
        <w:color w:val="000000"/>
        <w:sz w:val="18"/>
      </w:rPr>
      <w:instrText xml:space="preserve"> NUMPAGES </w:instrText>
    </w:r>
    <w:r w:rsidRPr="00B804AF">
      <w:rPr>
        <w:i/>
        <w:snapToGrid w:val="0"/>
        <w:color w:val="000000"/>
        <w:sz w:val="18"/>
      </w:rPr>
      <w:fldChar w:fldCharType="separate"/>
    </w:r>
    <w:r w:rsidR="00196A60">
      <w:rPr>
        <w:i/>
        <w:noProof/>
        <w:snapToGrid w:val="0"/>
        <w:color w:val="000000"/>
        <w:sz w:val="18"/>
      </w:rPr>
      <w:t>28</w:t>
    </w:r>
    <w:r w:rsidRPr="00B804AF">
      <w:rPr>
        <w:i/>
        <w:snapToGrid w:val="0"/>
        <w:color w:val="000000"/>
        <w:sz w:val="18"/>
      </w:rPr>
      <w:fldChar w:fldCharType="end"/>
    </w:r>
  </w:p>
  <w:p w:rsidR="003A0CC1" w:rsidRDefault="003A0C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2743"/>
      <w:docPartObj>
        <w:docPartGallery w:val="Page Numbers (Bottom of Page)"/>
        <w:docPartUnique/>
      </w:docPartObj>
    </w:sdtPr>
    <w:sdtEndPr/>
    <w:sdtContent>
      <w:sdt>
        <w:sdtPr>
          <w:id w:val="18252744"/>
          <w:docPartObj>
            <w:docPartGallery w:val="Page Numbers (Top of Page)"/>
            <w:docPartUnique/>
          </w:docPartObj>
        </w:sdtPr>
        <w:sdtEndPr/>
        <w:sdtContent>
          <w:p w:rsidR="003A0CC1" w:rsidRDefault="003A0CC1">
            <w:pPr>
              <w:pStyle w:val="Footer"/>
              <w:jc w:val="center"/>
            </w:pPr>
            <w:r>
              <w:t xml:space="preserve">Page </w:t>
            </w:r>
            <w:r w:rsidR="00D91125">
              <w:rPr>
                <w:b/>
                <w:sz w:val="24"/>
                <w:szCs w:val="24"/>
              </w:rPr>
              <w:fldChar w:fldCharType="begin"/>
            </w:r>
            <w:r>
              <w:rPr>
                <w:b/>
              </w:rPr>
              <w:instrText xml:space="preserve"> PAGE </w:instrText>
            </w:r>
            <w:r w:rsidR="00D91125">
              <w:rPr>
                <w:b/>
                <w:sz w:val="24"/>
                <w:szCs w:val="24"/>
              </w:rPr>
              <w:fldChar w:fldCharType="separate"/>
            </w:r>
            <w:r w:rsidR="00196A60">
              <w:rPr>
                <w:b/>
                <w:noProof/>
              </w:rPr>
              <w:t>28</w:t>
            </w:r>
            <w:r w:rsidR="00D91125">
              <w:rPr>
                <w:b/>
                <w:sz w:val="24"/>
                <w:szCs w:val="24"/>
              </w:rPr>
              <w:fldChar w:fldCharType="end"/>
            </w:r>
            <w:r>
              <w:t xml:space="preserve"> of </w:t>
            </w:r>
            <w:r w:rsidR="00D91125">
              <w:rPr>
                <w:b/>
                <w:sz w:val="24"/>
                <w:szCs w:val="24"/>
              </w:rPr>
              <w:fldChar w:fldCharType="begin"/>
            </w:r>
            <w:r>
              <w:rPr>
                <w:b/>
              </w:rPr>
              <w:instrText xml:space="preserve"> NUMPAGES  </w:instrText>
            </w:r>
            <w:r w:rsidR="00D91125">
              <w:rPr>
                <w:b/>
                <w:sz w:val="24"/>
                <w:szCs w:val="24"/>
              </w:rPr>
              <w:fldChar w:fldCharType="separate"/>
            </w:r>
            <w:r w:rsidR="00196A60">
              <w:rPr>
                <w:b/>
                <w:noProof/>
              </w:rPr>
              <w:t>28</w:t>
            </w:r>
            <w:r w:rsidR="00D91125">
              <w:rPr>
                <w:b/>
                <w:sz w:val="24"/>
                <w:szCs w:val="24"/>
              </w:rPr>
              <w:fldChar w:fldCharType="end"/>
            </w:r>
          </w:p>
        </w:sdtContent>
      </w:sdt>
    </w:sdtContent>
  </w:sdt>
  <w:p w:rsidR="003A0CC1" w:rsidRDefault="003A0C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509" w:rsidRDefault="00E32509" w:rsidP="0018495A">
      <w:pPr>
        <w:spacing w:after="0" w:line="240" w:lineRule="auto"/>
      </w:pPr>
      <w:r>
        <w:separator/>
      </w:r>
    </w:p>
  </w:footnote>
  <w:footnote w:type="continuationSeparator" w:id="0">
    <w:p w:rsidR="00E32509" w:rsidRDefault="00E32509" w:rsidP="0018495A">
      <w:pPr>
        <w:spacing w:after="0" w:line="240" w:lineRule="auto"/>
      </w:pPr>
      <w:r>
        <w:continuationSeparator/>
      </w:r>
    </w:p>
  </w:footnote>
  <w:footnote w:id="1">
    <w:p w:rsidR="003A0CC1" w:rsidRDefault="003A0CC1" w:rsidP="00D520D6">
      <w:pPr>
        <w:pStyle w:val="FootnoteText"/>
      </w:pPr>
      <w:r>
        <w:rPr>
          <w:rStyle w:val="FootnoteReference"/>
        </w:rPr>
        <w:footnoteRef/>
      </w:r>
      <w:r>
        <w:t xml:space="preserve"> from the HTA programme budget</w:t>
      </w:r>
    </w:p>
  </w:footnote>
  <w:footnote w:id="2">
    <w:p w:rsidR="003A0CC1" w:rsidRDefault="003A0CC1" w:rsidP="00D520D6">
      <w:pPr>
        <w:pStyle w:val="FootnoteText"/>
      </w:pPr>
      <w:r>
        <w:rPr>
          <w:rStyle w:val="FootnoteReference"/>
        </w:rPr>
        <w:footnoteRef/>
      </w:r>
      <w:r>
        <w:t xml:space="preserve"> from the HTA programme budget</w:t>
      </w:r>
    </w:p>
  </w:footnote>
  <w:footnote w:id="3">
    <w:p w:rsidR="003A0CC1" w:rsidRDefault="003A0CC1" w:rsidP="00D520D6">
      <w:pPr>
        <w:pStyle w:val="FootnoteText"/>
      </w:pPr>
      <w:r>
        <w:rPr>
          <w:rStyle w:val="FootnoteReference"/>
        </w:rPr>
        <w:footnoteRef/>
      </w:r>
      <w:r>
        <w:t xml:space="preserve"> an amount is available for this within the NCCHTA budget</w:t>
      </w:r>
    </w:p>
  </w:footnote>
  <w:footnote w:id="4">
    <w:p w:rsidR="003A0CC1" w:rsidRDefault="003A0CC1" w:rsidP="00D520D6">
      <w:pPr>
        <w:pStyle w:val="FootnoteText"/>
      </w:pPr>
      <w:r>
        <w:rPr>
          <w:rStyle w:val="FootnoteReference"/>
        </w:rPr>
        <w:footnoteRef/>
      </w:r>
      <w:r>
        <w:t xml:space="preserve"> from the HTA programme budget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C1" w:rsidRDefault="003A0CC1">
    <w:pPr>
      <w:pStyle w:val="Header"/>
    </w:pPr>
    <w:r>
      <w:t>NIHR CCF Standard Operating Procedures February 2015</w:t>
    </w:r>
  </w:p>
  <w:p w:rsidR="003A0CC1" w:rsidRPr="004B48B1" w:rsidRDefault="003A0CC1" w:rsidP="004B48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C1" w:rsidRDefault="003A0CC1">
    <w:pPr>
      <w:pStyle w:val="Header"/>
    </w:pPr>
    <w:r>
      <w:t>NIHR CCF Standard Operating Procedures February 2015</w:t>
    </w:r>
  </w:p>
  <w:p w:rsidR="003A0CC1" w:rsidRDefault="003A0C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F42D1"/>
    <w:multiLevelType w:val="hybridMultilevel"/>
    <w:tmpl w:val="3BDA8ABE"/>
    <w:lvl w:ilvl="0" w:tplc="BF50F8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8E516D"/>
    <w:multiLevelType w:val="multilevel"/>
    <w:tmpl w:val="C2A6F0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5D4664"/>
    <w:multiLevelType w:val="hybridMultilevel"/>
    <w:tmpl w:val="78E09EEE"/>
    <w:lvl w:ilvl="0" w:tplc="2CC609B8">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FE6418"/>
    <w:multiLevelType w:val="hybridMultilevel"/>
    <w:tmpl w:val="90A21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1F90D2D"/>
    <w:multiLevelType w:val="hybridMultilevel"/>
    <w:tmpl w:val="F57C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B57FEC"/>
    <w:multiLevelType w:val="hybridMultilevel"/>
    <w:tmpl w:val="20E66BC4"/>
    <w:lvl w:ilvl="0" w:tplc="447845BE">
      <w:start w:val="1"/>
      <w:numFmt w:val="decimal"/>
      <w:lvlText w:val="%1."/>
      <w:lvlJc w:val="left"/>
      <w:pPr>
        <w:tabs>
          <w:tab w:val="num" w:pos="360"/>
        </w:tabs>
        <w:ind w:left="360" w:hanging="360"/>
      </w:pPr>
    </w:lvl>
    <w:lvl w:ilvl="1" w:tplc="170C7012">
      <w:start w:val="1"/>
      <w:numFmt w:val="bullet"/>
      <w:lvlText w:val=""/>
      <w:lvlJc w:val="left"/>
      <w:pPr>
        <w:tabs>
          <w:tab w:val="num" w:pos="360"/>
        </w:tabs>
        <w:ind w:left="360" w:hanging="360"/>
      </w:pPr>
      <w:rPr>
        <w:rFonts w:ascii="Symbol" w:hAnsi="Symbol" w:hint="default"/>
      </w:rPr>
    </w:lvl>
    <w:lvl w:ilvl="2" w:tplc="552AA15A">
      <w:numFmt w:val="none"/>
      <w:lvlText w:val=""/>
      <w:lvlJc w:val="left"/>
      <w:pPr>
        <w:tabs>
          <w:tab w:val="num" w:pos="360"/>
        </w:tabs>
      </w:pPr>
    </w:lvl>
    <w:lvl w:ilvl="3" w:tplc="6D9EAE20">
      <w:numFmt w:val="none"/>
      <w:lvlText w:val=""/>
      <w:lvlJc w:val="left"/>
      <w:pPr>
        <w:tabs>
          <w:tab w:val="num" w:pos="360"/>
        </w:tabs>
      </w:pPr>
    </w:lvl>
    <w:lvl w:ilvl="4" w:tplc="8042006A">
      <w:numFmt w:val="none"/>
      <w:lvlText w:val=""/>
      <w:lvlJc w:val="left"/>
      <w:pPr>
        <w:tabs>
          <w:tab w:val="num" w:pos="360"/>
        </w:tabs>
      </w:pPr>
    </w:lvl>
    <w:lvl w:ilvl="5" w:tplc="25AA77A8">
      <w:numFmt w:val="none"/>
      <w:lvlText w:val=""/>
      <w:lvlJc w:val="left"/>
      <w:pPr>
        <w:tabs>
          <w:tab w:val="num" w:pos="360"/>
        </w:tabs>
      </w:pPr>
    </w:lvl>
    <w:lvl w:ilvl="6" w:tplc="FFB8BBC8">
      <w:numFmt w:val="none"/>
      <w:lvlText w:val=""/>
      <w:lvlJc w:val="left"/>
      <w:pPr>
        <w:tabs>
          <w:tab w:val="num" w:pos="360"/>
        </w:tabs>
      </w:pPr>
    </w:lvl>
    <w:lvl w:ilvl="7" w:tplc="791A3F82">
      <w:numFmt w:val="none"/>
      <w:lvlText w:val=""/>
      <w:lvlJc w:val="left"/>
      <w:pPr>
        <w:tabs>
          <w:tab w:val="num" w:pos="360"/>
        </w:tabs>
      </w:pPr>
    </w:lvl>
    <w:lvl w:ilvl="8" w:tplc="CB7E4CF0">
      <w:numFmt w:val="none"/>
      <w:lvlText w:val=""/>
      <w:lvlJc w:val="left"/>
      <w:pPr>
        <w:tabs>
          <w:tab w:val="num" w:pos="360"/>
        </w:tabs>
      </w:pPr>
    </w:lvl>
  </w:abstractNum>
  <w:abstractNum w:abstractNumId="6">
    <w:nsid w:val="24C70CE1"/>
    <w:multiLevelType w:val="hybridMultilevel"/>
    <w:tmpl w:val="05C8076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E2169F"/>
    <w:multiLevelType w:val="hybridMultilevel"/>
    <w:tmpl w:val="2DFEE402"/>
    <w:lvl w:ilvl="0" w:tplc="C76AE72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9ED1D93"/>
    <w:multiLevelType w:val="multilevel"/>
    <w:tmpl w:val="7A72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4230D0"/>
    <w:multiLevelType w:val="hybridMultilevel"/>
    <w:tmpl w:val="8DE03464"/>
    <w:lvl w:ilvl="0" w:tplc="2A6CBE4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AA4923"/>
    <w:multiLevelType w:val="hybridMultilevel"/>
    <w:tmpl w:val="7B26E6C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D220E1B"/>
    <w:multiLevelType w:val="hybridMultilevel"/>
    <w:tmpl w:val="B770EF8A"/>
    <w:lvl w:ilvl="0" w:tplc="10EED93E">
      <w:start w:val="1"/>
      <w:numFmt w:val="bullet"/>
      <w:lvlText w:val=""/>
      <w:lvlJc w:val="left"/>
      <w:pPr>
        <w:tabs>
          <w:tab w:val="num" w:pos="1335"/>
        </w:tabs>
        <w:ind w:left="1329" w:hanging="357"/>
      </w:pPr>
      <w:rPr>
        <w:rFonts w:ascii="Symbol" w:hAnsi="Symbol" w:hint="default"/>
      </w:rPr>
    </w:lvl>
    <w:lvl w:ilvl="1" w:tplc="08090003" w:tentative="1">
      <w:start w:val="1"/>
      <w:numFmt w:val="bullet"/>
      <w:lvlText w:val="o"/>
      <w:lvlJc w:val="left"/>
      <w:pPr>
        <w:tabs>
          <w:tab w:val="num" w:pos="2055"/>
        </w:tabs>
        <w:ind w:left="2055" w:hanging="360"/>
      </w:pPr>
      <w:rPr>
        <w:rFonts w:ascii="Courier New" w:hAnsi="Courier New" w:cs="Courier New" w:hint="default"/>
      </w:rPr>
    </w:lvl>
    <w:lvl w:ilvl="2" w:tplc="08090005" w:tentative="1">
      <w:start w:val="1"/>
      <w:numFmt w:val="bullet"/>
      <w:lvlText w:val=""/>
      <w:lvlJc w:val="left"/>
      <w:pPr>
        <w:tabs>
          <w:tab w:val="num" w:pos="2775"/>
        </w:tabs>
        <w:ind w:left="2775" w:hanging="360"/>
      </w:pPr>
      <w:rPr>
        <w:rFonts w:ascii="Wingdings" w:hAnsi="Wingdings" w:hint="default"/>
      </w:rPr>
    </w:lvl>
    <w:lvl w:ilvl="3" w:tplc="08090001" w:tentative="1">
      <w:start w:val="1"/>
      <w:numFmt w:val="bullet"/>
      <w:lvlText w:val=""/>
      <w:lvlJc w:val="left"/>
      <w:pPr>
        <w:tabs>
          <w:tab w:val="num" w:pos="3495"/>
        </w:tabs>
        <w:ind w:left="3495" w:hanging="360"/>
      </w:pPr>
      <w:rPr>
        <w:rFonts w:ascii="Symbol" w:hAnsi="Symbol" w:hint="default"/>
      </w:rPr>
    </w:lvl>
    <w:lvl w:ilvl="4" w:tplc="08090003" w:tentative="1">
      <w:start w:val="1"/>
      <w:numFmt w:val="bullet"/>
      <w:lvlText w:val="o"/>
      <w:lvlJc w:val="left"/>
      <w:pPr>
        <w:tabs>
          <w:tab w:val="num" w:pos="4215"/>
        </w:tabs>
        <w:ind w:left="4215" w:hanging="360"/>
      </w:pPr>
      <w:rPr>
        <w:rFonts w:ascii="Courier New" w:hAnsi="Courier New" w:cs="Courier New" w:hint="default"/>
      </w:rPr>
    </w:lvl>
    <w:lvl w:ilvl="5" w:tplc="08090005" w:tentative="1">
      <w:start w:val="1"/>
      <w:numFmt w:val="bullet"/>
      <w:lvlText w:val=""/>
      <w:lvlJc w:val="left"/>
      <w:pPr>
        <w:tabs>
          <w:tab w:val="num" w:pos="4935"/>
        </w:tabs>
        <w:ind w:left="4935" w:hanging="360"/>
      </w:pPr>
      <w:rPr>
        <w:rFonts w:ascii="Wingdings" w:hAnsi="Wingdings" w:hint="default"/>
      </w:rPr>
    </w:lvl>
    <w:lvl w:ilvl="6" w:tplc="08090001" w:tentative="1">
      <w:start w:val="1"/>
      <w:numFmt w:val="bullet"/>
      <w:lvlText w:val=""/>
      <w:lvlJc w:val="left"/>
      <w:pPr>
        <w:tabs>
          <w:tab w:val="num" w:pos="5655"/>
        </w:tabs>
        <w:ind w:left="5655" w:hanging="360"/>
      </w:pPr>
      <w:rPr>
        <w:rFonts w:ascii="Symbol" w:hAnsi="Symbol" w:hint="default"/>
      </w:rPr>
    </w:lvl>
    <w:lvl w:ilvl="7" w:tplc="08090003" w:tentative="1">
      <w:start w:val="1"/>
      <w:numFmt w:val="bullet"/>
      <w:lvlText w:val="o"/>
      <w:lvlJc w:val="left"/>
      <w:pPr>
        <w:tabs>
          <w:tab w:val="num" w:pos="6375"/>
        </w:tabs>
        <w:ind w:left="6375" w:hanging="360"/>
      </w:pPr>
      <w:rPr>
        <w:rFonts w:ascii="Courier New" w:hAnsi="Courier New" w:cs="Courier New" w:hint="default"/>
      </w:rPr>
    </w:lvl>
    <w:lvl w:ilvl="8" w:tplc="08090005" w:tentative="1">
      <w:start w:val="1"/>
      <w:numFmt w:val="bullet"/>
      <w:lvlText w:val=""/>
      <w:lvlJc w:val="left"/>
      <w:pPr>
        <w:tabs>
          <w:tab w:val="num" w:pos="7095"/>
        </w:tabs>
        <w:ind w:left="7095" w:hanging="360"/>
      </w:pPr>
      <w:rPr>
        <w:rFonts w:ascii="Wingdings" w:hAnsi="Wingdings" w:hint="default"/>
      </w:rPr>
    </w:lvl>
  </w:abstractNum>
  <w:abstractNum w:abstractNumId="12">
    <w:nsid w:val="3FD810B7"/>
    <w:multiLevelType w:val="hybridMultilevel"/>
    <w:tmpl w:val="E3142E44"/>
    <w:lvl w:ilvl="0" w:tplc="B6962B1C">
      <w:start w:val="1"/>
      <w:numFmt w:val="bullet"/>
      <w:lvlRestart w:val="0"/>
      <w:lvlText w:val=""/>
      <w:lvlJc w:val="left"/>
      <w:pPr>
        <w:tabs>
          <w:tab w:val="num" w:pos="1296"/>
        </w:tabs>
        <w:ind w:left="1296" w:hanging="576"/>
      </w:pPr>
      <w:rPr>
        <w:rFonts w:ascii="Symbol" w:hAnsi="Symbol" w:hint="default"/>
        <w:b w:val="0"/>
        <w:i w:val="0"/>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C97853"/>
    <w:multiLevelType w:val="hybridMultilevel"/>
    <w:tmpl w:val="D4F0B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D307BFA"/>
    <w:multiLevelType w:val="hybridMultilevel"/>
    <w:tmpl w:val="5C0CC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A6C3496"/>
    <w:multiLevelType w:val="hybridMultilevel"/>
    <w:tmpl w:val="7D0842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BA93B94"/>
    <w:multiLevelType w:val="hybridMultilevel"/>
    <w:tmpl w:val="AB7C3D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6FD468B"/>
    <w:multiLevelType w:val="hybridMultilevel"/>
    <w:tmpl w:val="F20AF4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7487CB2"/>
    <w:multiLevelType w:val="hybridMultilevel"/>
    <w:tmpl w:val="FAC4B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C8E4889"/>
    <w:multiLevelType w:val="hybridMultilevel"/>
    <w:tmpl w:val="96E2F0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59227EF"/>
    <w:multiLevelType w:val="hybridMultilevel"/>
    <w:tmpl w:val="754A3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463C31"/>
    <w:multiLevelType w:val="hybridMultilevel"/>
    <w:tmpl w:val="A266B2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B3212E7"/>
    <w:multiLevelType w:val="hybridMultilevel"/>
    <w:tmpl w:val="AEAA52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F6D54C1"/>
    <w:multiLevelType w:val="hybridMultilevel"/>
    <w:tmpl w:val="6C765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1"/>
  </w:num>
  <w:num w:numId="4">
    <w:abstractNumId w:val="1"/>
  </w:num>
  <w:num w:numId="5">
    <w:abstractNumId w:val="6"/>
  </w:num>
  <w:num w:numId="6">
    <w:abstractNumId w:val="23"/>
  </w:num>
  <w:num w:numId="7">
    <w:abstractNumId w:val="18"/>
  </w:num>
  <w:num w:numId="8">
    <w:abstractNumId w:val="16"/>
  </w:num>
  <w:num w:numId="9">
    <w:abstractNumId w:val="22"/>
  </w:num>
  <w:num w:numId="10">
    <w:abstractNumId w:val="4"/>
  </w:num>
  <w:num w:numId="11">
    <w:abstractNumId w:val="20"/>
  </w:num>
  <w:num w:numId="12">
    <w:abstractNumId w:val="0"/>
  </w:num>
  <w:num w:numId="13">
    <w:abstractNumId w:val="3"/>
  </w:num>
  <w:num w:numId="14">
    <w:abstractNumId w:val="17"/>
  </w:num>
  <w:num w:numId="15">
    <w:abstractNumId w:val="21"/>
  </w:num>
  <w:num w:numId="16">
    <w:abstractNumId w:val="12"/>
  </w:num>
  <w:num w:numId="17">
    <w:abstractNumId w:val="9"/>
  </w:num>
  <w:num w:numId="18">
    <w:abstractNumId w:val="14"/>
  </w:num>
  <w:num w:numId="19">
    <w:abstractNumId w:val="13"/>
  </w:num>
  <w:num w:numId="20">
    <w:abstractNumId w:val="8"/>
  </w:num>
  <w:num w:numId="21">
    <w:abstractNumId w:val="15"/>
  </w:num>
  <w:num w:numId="22">
    <w:abstractNumId w:val="6"/>
    <w:lvlOverride w:ilvl="0">
      <w:lvl w:ilvl="0" w:tplc="0809000F">
        <w:start w:val="1"/>
        <w:numFmt w:val="lowerLetter"/>
        <w:lvlText w:val="%1."/>
        <w:lvlJc w:val="left"/>
        <w:pPr>
          <w:ind w:left="1440" w:hanging="360"/>
        </w:pPr>
        <w:rPr>
          <w:rFonts w:hint="default"/>
        </w:rPr>
      </w:lvl>
    </w:lvlOverride>
    <w:lvlOverride w:ilvl="1">
      <w:lvl w:ilvl="1" w:tplc="08090019">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3">
    <w:abstractNumId w:val="10"/>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F9B"/>
    <w:rsid w:val="00006512"/>
    <w:rsid w:val="000223A1"/>
    <w:rsid w:val="00022462"/>
    <w:rsid w:val="00034979"/>
    <w:rsid w:val="000505DB"/>
    <w:rsid w:val="0006470B"/>
    <w:rsid w:val="00076A88"/>
    <w:rsid w:val="00077C1E"/>
    <w:rsid w:val="00091FF4"/>
    <w:rsid w:val="00096917"/>
    <w:rsid w:val="00096998"/>
    <w:rsid w:val="000A2FB3"/>
    <w:rsid w:val="000B023F"/>
    <w:rsid w:val="000C028B"/>
    <w:rsid w:val="000C4B2F"/>
    <w:rsid w:val="000D6758"/>
    <w:rsid w:val="000D738C"/>
    <w:rsid w:val="000E3B37"/>
    <w:rsid w:val="000F5650"/>
    <w:rsid w:val="001032DC"/>
    <w:rsid w:val="001211D5"/>
    <w:rsid w:val="00124F6A"/>
    <w:rsid w:val="00133072"/>
    <w:rsid w:val="00141914"/>
    <w:rsid w:val="001565BA"/>
    <w:rsid w:val="00170764"/>
    <w:rsid w:val="0018495A"/>
    <w:rsid w:val="00194EF8"/>
    <w:rsid w:val="0019555B"/>
    <w:rsid w:val="00196A60"/>
    <w:rsid w:val="001A5A3E"/>
    <w:rsid w:val="001A72BD"/>
    <w:rsid w:val="001D016E"/>
    <w:rsid w:val="001D5337"/>
    <w:rsid w:val="001D7E35"/>
    <w:rsid w:val="001E2616"/>
    <w:rsid w:val="001E3674"/>
    <w:rsid w:val="001E7FF4"/>
    <w:rsid w:val="00213EB8"/>
    <w:rsid w:val="00223B08"/>
    <w:rsid w:val="00241E0E"/>
    <w:rsid w:val="00255EAE"/>
    <w:rsid w:val="00280277"/>
    <w:rsid w:val="002844B3"/>
    <w:rsid w:val="00284906"/>
    <w:rsid w:val="002931BE"/>
    <w:rsid w:val="002B46DE"/>
    <w:rsid w:val="002B621B"/>
    <w:rsid w:val="002E4466"/>
    <w:rsid w:val="002E58FF"/>
    <w:rsid w:val="00310412"/>
    <w:rsid w:val="0031568B"/>
    <w:rsid w:val="00324DEB"/>
    <w:rsid w:val="00345B91"/>
    <w:rsid w:val="00380660"/>
    <w:rsid w:val="003835A0"/>
    <w:rsid w:val="00396FBA"/>
    <w:rsid w:val="00397C08"/>
    <w:rsid w:val="003A0CC1"/>
    <w:rsid w:val="003A17D0"/>
    <w:rsid w:val="003A54A6"/>
    <w:rsid w:val="003A6B39"/>
    <w:rsid w:val="003B2293"/>
    <w:rsid w:val="003D1526"/>
    <w:rsid w:val="003E7D59"/>
    <w:rsid w:val="003F0ADD"/>
    <w:rsid w:val="00406CFD"/>
    <w:rsid w:val="00407BEB"/>
    <w:rsid w:val="0041530D"/>
    <w:rsid w:val="00417C4D"/>
    <w:rsid w:val="00447C20"/>
    <w:rsid w:val="00455DA6"/>
    <w:rsid w:val="0047406A"/>
    <w:rsid w:val="00482670"/>
    <w:rsid w:val="00492D79"/>
    <w:rsid w:val="004B48B1"/>
    <w:rsid w:val="004B53C0"/>
    <w:rsid w:val="004C1712"/>
    <w:rsid w:val="004D567C"/>
    <w:rsid w:val="004E6C14"/>
    <w:rsid w:val="00511359"/>
    <w:rsid w:val="005123B8"/>
    <w:rsid w:val="005451E6"/>
    <w:rsid w:val="00546439"/>
    <w:rsid w:val="0056297C"/>
    <w:rsid w:val="00565BC4"/>
    <w:rsid w:val="00572363"/>
    <w:rsid w:val="005A332F"/>
    <w:rsid w:val="005A4F74"/>
    <w:rsid w:val="005B3F6A"/>
    <w:rsid w:val="005B4C47"/>
    <w:rsid w:val="005C21F5"/>
    <w:rsid w:val="005D0F77"/>
    <w:rsid w:val="005E73E2"/>
    <w:rsid w:val="00601E25"/>
    <w:rsid w:val="0061361C"/>
    <w:rsid w:val="00625982"/>
    <w:rsid w:val="00625B75"/>
    <w:rsid w:val="00630BDF"/>
    <w:rsid w:val="00631890"/>
    <w:rsid w:val="0065313C"/>
    <w:rsid w:val="00666EE3"/>
    <w:rsid w:val="006764AA"/>
    <w:rsid w:val="00682200"/>
    <w:rsid w:val="006937CD"/>
    <w:rsid w:val="006947CC"/>
    <w:rsid w:val="00695F28"/>
    <w:rsid w:val="0069786D"/>
    <w:rsid w:val="006A3702"/>
    <w:rsid w:val="006B661F"/>
    <w:rsid w:val="006C5D89"/>
    <w:rsid w:val="006C6FD0"/>
    <w:rsid w:val="006D118D"/>
    <w:rsid w:val="006D1BAE"/>
    <w:rsid w:val="006E1D42"/>
    <w:rsid w:val="006E363C"/>
    <w:rsid w:val="006F2700"/>
    <w:rsid w:val="0070132C"/>
    <w:rsid w:val="00701E11"/>
    <w:rsid w:val="00711D2E"/>
    <w:rsid w:val="007129DD"/>
    <w:rsid w:val="00725327"/>
    <w:rsid w:val="0073793E"/>
    <w:rsid w:val="00750E15"/>
    <w:rsid w:val="007732C6"/>
    <w:rsid w:val="00776D37"/>
    <w:rsid w:val="007960CD"/>
    <w:rsid w:val="007A1FE3"/>
    <w:rsid w:val="007B42B2"/>
    <w:rsid w:val="007C4A94"/>
    <w:rsid w:val="007D1D39"/>
    <w:rsid w:val="007D1F5F"/>
    <w:rsid w:val="007D6CEA"/>
    <w:rsid w:val="007F15B9"/>
    <w:rsid w:val="00805397"/>
    <w:rsid w:val="00821BF6"/>
    <w:rsid w:val="008237E6"/>
    <w:rsid w:val="008242F1"/>
    <w:rsid w:val="008267E6"/>
    <w:rsid w:val="008568F9"/>
    <w:rsid w:val="00865FED"/>
    <w:rsid w:val="008827A6"/>
    <w:rsid w:val="008964BF"/>
    <w:rsid w:val="008A53DA"/>
    <w:rsid w:val="008A57EE"/>
    <w:rsid w:val="008B08C2"/>
    <w:rsid w:val="008B1C8E"/>
    <w:rsid w:val="008C05FB"/>
    <w:rsid w:val="008D5F9F"/>
    <w:rsid w:val="008E2D9F"/>
    <w:rsid w:val="009016EB"/>
    <w:rsid w:val="0091021A"/>
    <w:rsid w:val="00920F1E"/>
    <w:rsid w:val="009231B1"/>
    <w:rsid w:val="009237A4"/>
    <w:rsid w:val="00926172"/>
    <w:rsid w:val="00937AE3"/>
    <w:rsid w:val="00942012"/>
    <w:rsid w:val="00944609"/>
    <w:rsid w:val="00944687"/>
    <w:rsid w:val="009533CB"/>
    <w:rsid w:val="00953798"/>
    <w:rsid w:val="009543AC"/>
    <w:rsid w:val="00957B79"/>
    <w:rsid w:val="0096101C"/>
    <w:rsid w:val="00964BDB"/>
    <w:rsid w:val="00996161"/>
    <w:rsid w:val="009A3262"/>
    <w:rsid w:val="009A67A5"/>
    <w:rsid w:val="009B25AA"/>
    <w:rsid w:val="009B3CBF"/>
    <w:rsid w:val="009C3002"/>
    <w:rsid w:val="009E2DF5"/>
    <w:rsid w:val="00A10E84"/>
    <w:rsid w:val="00A127CE"/>
    <w:rsid w:val="00A155B6"/>
    <w:rsid w:val="00A1602E"/>
    <w:rsid w:val="00A35D4F"/>
    <w:rsid w:val="00A41BCF"/>
    <w:rsid w:val="00A5463A"/>
    <w:rsid w:val="00A573AD"/>
    <w:rsid w:val="00A62A5E"/>
    <w:rsid w:val="00A641C8"/>
    <w:rsid w:val="00A74E3F"/>
    <w:rsid w:val="00A91C3E"/>
    <w:rsid w:val="00A92B07"/>
    <w:rsid w:val="00AA5EAF"/>
    <w:rsid w:val="00AA638E"/>
    <w:rsid w:val="00AA7679"/>
    <w:rsid w:val="00AB33FF"/>
    <w:rsid w:val="00AC16C8"/>
    <w:rsid w:val="00AC3E88"/>
    <w:rsid w:val="00AC721E"/>
    <w:rsid w:val="00AF7940"/>
    <w:rsid w:val="00B0662B"/>
    <w:rsid w:val="00B13283"/>
    <w:rsid w:val="00B22812"/>
    <w:rsid w:val="00B352A7"/>
    <w:rsid w:val="00B43344"/>
    <w:rsid w:val="00B56A9C"/>
    <w:rsid w:val="00B570D9"/>
    <w:rsid w:val="00B66B40"/>
    <w:rsid w:val="00B76AD9"/>
    <w:rsid w:val="00B77272"/>
    <w:rsid w:val="00B94177"/>
    <w:rsid w:val="00B96074"/>
    <w:rsid w:val="00BA26D8"/>
    <w:rsid w:val="00BB24D4"/>
    <w:rsid w:val="00BB44C1"/>
    <w:rsid w:val="00BB46B6"/>
    <w:rsid w:val="00BB5AA5"/>
    <w:rsid w:val="00BB6A02"/>
    <w:rsid w:val="00BC2993"/>
    <w:rsid w:val="00BF0586"/>
    <w:rsid w:val="00C00008"/>
    <w:rsid w:val="00C07340"/>
    <w:rsid w:val="00C16937"/>
    <w:rsid w:val="00C2389E"/>
    <w:rsid w:val="00C356A7"/>
    <w:rsid w:val="00C86A07"/>
    <w:rsid w:val="00C87E4F"/>
    <w:rsid w:val="00C93DC1"/>
    <w:rsid w:val="00C95D7F"/>
    <w:rsid w:val="00CB1693"/>
    <w:rsid w:val="00CE05C1"/>
    <w:rsid w:val="00CE0C7E"/>
    <w:rsid w:val="00CE5723"/>
    <w:rsid w:val="00CF3F82"/>
    <w:rsid w:val="00D00B6C"/>
    <w:rsid w:val="00D019A0"/>
    <w:rsid w:val="00D24387"/>
    <w:rsid w:val="00D4157D"/>
    <w:rsid w:val="00D42962"/>
    <w:rsid w:val="00D46872"/>
    <w:rsid w:val="00D520D6"/>
    <w:rsid w:val="00D60B3C"/>
    <w:rsid w:val="00D63DCD"/>
    <w:rsid w:val="00D677E1"/>
    <w:rsid w:val="00D67FCE"/>
    <w:rsid w:val="00D75F9B"/>
    <w:rsid w:val="00D91125"/>
    <w:rsid w:val="00D947E9"/>
    <w:rsid w:val="00DA5C5B"/>
    <w:rsid w:val="00DB159A"/>
    <w:rsid w:val="00DB28A2"/>
    <w:rsid w:val="00DB2E93"/>
    <w:rsid w:val="00DD6497"/>
    <w:rsid w:val="00DE3D31"/>
    <w:rsid w:val="00DF2409"/>
    <w:rsid w:val="00DF2DB9"/>
    <w:rsid w:val="00E05F09"/>
    <w:rsid w:val="00E32509"/>
    <w:rsid w:val="00E326D7"/>
    <w:rsid w:val="00E510EB"/>
    <w:rsid w:val="00E54EDF"/>
    <w:rsid w:val="00E5685C"/>
    <w:rsid w:val="00E603C7"/>
    <w:rsid w:val="00E632F6"/>
    <w:rsid w:val="00E8111B"/>
    <w:rsid w:val="00E92562"/>
    <w:rsid w:val="00EA1515"/>
    <w:rsid w:val="00EA65A9"/>
    <w:rsid w:val="00EB7427"/>
    <w:rsid w:val="00EC7C6A"/>
    <w:rsid w:val="00ED1099"/>
    <w:rsid w:val="00ED4E0D"/>
    <w:rsid w:val="00EF79D1"/>
    <w:rsid w:val="00F12882"/>
    <w:rsid w:val="00F2287B"/>
    <w:rsid w:val="00F249A8"/>
    <w:rsid w:val="00F25C99"/>
    <w:rsid w:val="00F33F5A"/>
    <w:rsid w:val="00F37E11"/>
    <w:rsid w:val="00F40566"/>
    <w:rsid w:val="00F406B4"/>
    <w:rsid w:val="00F547C3"/>
    <w:rsid w:val="00F74DC4"/>
    <w:rsid w:val="00F77863"/>
    <w:rsid w:val="00F80121"/>
    <w:rsid w:val="00F901FD"/>
    <w:rsid w:val="00F908BE"/>
    <w:rsid w:val="00F9244E"/>
    <w:rsid w:val="00FA3B68"/>
    <w:rsid w:val="00FA422F"/>
    <w:rsid w:val="00FB255D"/>
    <w:rsid w:val="00FB59AD"/>
    <w:rsid w:val="00FC4597"/>
    <w:rsid w:val="00FC5F94"/>
    <w:rsid w:val="00FC6334"/>
    <w:rsid w:val="00FD1471"/>
    <w:rsid w:val="00FE47BE"/>
    <w:rsid w:val="00FF74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D1471"/>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D520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495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8495A"/>
    <w:rPr>
      <w:rFonts w:ascii="Times New Roman" w:eastAsia="Times New Roman" w:hAnsi="Times New Roman" w:cs="Times New Roman"/>
      <w:sz w:val="24"/>
      <w:szCs w:val="24"/>
    </w:rPr>
  </w:style>
  <w:style w:type="character" w:styleId="Hyperlink">
    <w:name w:val="Hyperlink"/>
    <w:basedOn w:val="DefaultParagraphFont"/>
    <w:rsid w:val="0018495A"/>
    <w:rPr>
      <w:color w:val="0000FF"/>
      <w:u w:val="single"/>
    </w:rPr>
  </w:style>
  <w:style w:type="paragraph" w:styleId="Header">
    <w:name w:val="header"/>
    <w:basedOn w:val="Normal"/>
    <w:link w:val="HeaderChar"/>
    <w:uiPriority w:val="99"/>
    <w:unhideWhenUsed/>
    <w:rsid w:val="001849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495A"/>
  </w:style>
  <w:style w:type="paragraph" w:styleId="Footer">
    <w:name w:val="footer"/>
    <w:basedOn w:val="Normal"/>
    <w:link w:val="FooterChar"/>
    <w:unhideWhenUsed/>
    <w:rsid w:val="0018495A"/>
    <w:pPr>
      <w:tabs>
        <w:tab w:val="center" w:pos="4513"/>
        <w:tab w:val="right" w:pos="9026"/>
      </w:tabs>
      <w:spacing w:after="0" w:line="240" w:lineRule="auto"/>
    </w:pPr>
  </w:style>
  <w:style w:type="character" w:customStyle="1" w:styleId="FooterChar">
    <w:name w:val="Footer Char"/>
    <w:basedOn w:val="DefaultParagraphFont"/>
    <w:link w:val="Footer"/>
    <w:rsid w:val="0018495A"/>
  </w:style>
  <w:style w:type="paragraph" w:styleId="BalloonText">
    <w:name w:val="Balloon Text"/>
    <w:basedOn w:val="Normal"/>
    <w:link w:val="BalloonTextChar"/>
    <w:uiPriority w:val="99"/>
    <w:semiHidden/>
    <w:unhideWhenUsed/>
    <w:rsid w:val="00FB5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9AD"/>
    <w:rPr>
      <w:rFonts w:ascii="Tahoma" w:hAnsi="Tahoma" w:cs="Tahoma"/>
      <w:sz w:val="16"/>
      <w:szCs w:val="16"/>
    </w:rPr>
  </w:style>
  <w:style w:type="character" w:styleId="FollowedHyperlink">
    <w:name w:val="FollowedHyperlink"/>
    <w:basedOn w:val="DefaultParagraphFont"/>
    <w:uiPriority w:val="99"/>
    <w:semiHidden/>
    <w:unhideWhenUsed/>
    <w:rsid w:val="001D016E"/>
    <w:rPr>
      <w:color w:val="800080" w:themeColor="followedHyperlink"/>
      <w:u w:val="single"/>
    </w:rPr>
  </w:style>
  <w:style w:type="character" w:customStyle="1" w:styleId="Heading1Char">
    <w:name w:val="Heading 1 Char"/>
    <w:basedOn w:val="DefaultParagraphFont"/>
    <w:link w:val="Heading1"/>
    <w:rsid w:val="00FD1471"/>
    <w:rPr>
      <w:rFonts w:ascii="Times New Roman" w:eastAsia="Times New Roman" w:hAnsi="Times New Roman" w:cs="Times New Roman"/>
      <w:b/>
      <w:bCs/>
      <w:sz w:val="24"/>
      <w:szCs w:val="24"/>
    </w:rPr>
  </w:style>
  <w:style w:type="paragraph" w:styleId="FootnoteText">
    <w:name w:val="footnote text"/>
    <w:basedOn w:val="Normal"/>
    <w:link w:val="FootnoteTextChar"/>
    <w:rsid w:val="00FD147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D1471"/>
    <w:rPr>
      <w:rFonts w:ascii="Times New Roman" w:eastAsia="Times New Roman" w:hAnsi="Times New Roman" w:cs="Times New Roman"/>
      <w:sz w:val="20"/>
      <w:szCs w:val="20"/>
    </w:rPr>
  </w:style>
  <w:style w:type="character" w:styleId="FootnoteReference">
    <w:name w:val="footnote reference"/>
    <w:basedOn w:val="DefaultParagraphFont"/>
    <w:rsid w:val="00FD1471"/>
    <w:rPr>
      <w:rFonts w:cs="Times New Roman"/>
      <w:vertAlign w:val="superscript"/>
    </w:rPr>
  </w:style>
  <w:style w:type="character" w:customStyle="1" w:styleId="Heading2Char">
    <w:name w:val="Heading 2 Char"/>
    <w:basedOn w:val="DefaultParagraphFont"/>
    <w:link w:val="Heading2"/>
    <w:uiPriority w:val="9"/>
    <w:semiHidden/>
    <w:rsid w:val="00D520D6"/>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rsid w:val="00D520D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D520D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D1471"/>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D520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495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8495A"/>
    <w:rPr>
      <w:rFonts w:ascii="Times New Roman" w:eastAsia="Times New Roman" w:hAnsi="Times New Roman" w:cs="Times New Roman"/>
      <w:sz w:val="24"/>
      <w:szCs w:val="24"/>
    </w:rPr>
  </w:style>
  <w:style w:type="character" w:styleId="Hyperlink">
    <w:name w:val="Hyperlink"/>
    <w:basedOn w:val="DefaultParagraphFont"/>
    <w:rsid w:val="0018495A"/>
    <w:rPr>
      <w:color w:val="0000FF"/>
      <w:u w:val="single"/>
    </w:rPr>
  </w:style>
  <w:style w:type="paragraph" w:styleId="Header">
    <w:name w:val="header"/>
    <w:basedOn w:val="Normal"/>
    <w:link w:val="HeaderChar"/>
    <w:uiPriority w:val="99"/>
    <w:unhideWhenUsed/>
    <w:rsid w:val="001849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495A"/>
  </w:style>
  <w:style w:type="paragraph" w:styleId="Footer">
    <w:name w:val="footer"/>
    <w:basedOn w:val="Normal"/>
    <w:link w:val="FooterChar"/>
    <w:unhideWhenUsed/>
    <w:rsid w:val="0018495A"/>
    <w:pPr>
      <w:tabs>
        <w:tab w:val="center" w:pos="4513"/>
        <w:tab w:val="right" w:pos="9026"/>
      </w:tabs>
      <w:spacing w:after="0" w:line="240" w:lineRule="auto"/>
    </w:pPr>
  </w:style>
  <w:style w:type="character" w:customStyle="1" w:styleId="FooterChar">
    <w:name w:val="Footer Char"/>
    <w:basedOn w:val="DefaultParagraphFont"/>
    <w:link w:val="Footer"/>
    <w:rsid w:val="0018495A"/>
  </w:style>
  <w:style w:type="paragraph" w:styleId="BalloonText">
    <w:name w:val="Balloon Text"/>
    <w:basedOn w:val="Normal"/>
    <w:link w:val="BalloonTextChar"/>
    <w:uiPriority w:val="99"/>
    <w:semiHidden/>
    <w:unhideWhenUsed/>
    <w:rsid w:val="00FB5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9AD"/>
    <w:rPr>
      <w:rFonts w:ascii="Tahoma" w:hAnsi="Tahoma" w:cs="Tahoma"/>
      <w:sz w:val="16"/>
      <w:szCs w:val="16"/>
    </w:rPr>
  </w:style>
  <w:style w:type="character" w:styleId="FollowedHyperlink">
    <w:name w:val="FollowedHyperlink"/>
    <w:basedOn w:val="DefaultParagraphFont"/>
    <w:uiPriority w:val="99"/>
    <w:semiHidden/>
    <w:unhideWhenUsed/>
    <w:rsid w:val="001D016E"/>
    <w:rPr>
      <w:color w:val="800080" w:themeColor="followedHyperlink"/>
      <w:u w:val="single"/>
    </w:rPr>
  </w:style>
  <w:style w:type="character" w:customStyle="1" w:styleId="Heading1Char">
    <w:name w:val="Heading 1 Char"/>
    <w:basedOn w:val="DefaultParagraphFont"/>
    <w:link w:val="Heading1"/>
    <w:rsid w:val="00FD1471"/>
    <w:rPr>
      <w:rFonts w:ascii="Times New Roman" w:eastAsia="Times New Roman" w:hAnsi="Times New Roman" w:cs="Times New Roman"/>
      <w:b/>
      <w:bCs/>
      <w:sz w:val="24"/>
      <w:szCs w:val="24"/>
    </w:rPr>
  </w:style>
  <w:style w:type="paragraph" w:styleId="FootnoteText">
    <w:name w:val="footnote text"/>
    <w:basedOn w:val="Normal"/>
    <w:link w:val="FootnoteTextChar"/>
    <w:rsid w:val="00FD147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D1471"/>
    <w:rPr>
      <w:rFonts w:ascii="Times New Roman" w:eastAsia="Times New Roman" w:hAnsi="Times New Roman" w:cs="Times New Roman"/>
      <w:sz w:val="20"/>
      <w:szCs w:val="20"/>
    </w:rPr>
  </w:style>
  <w:style w:type="character" w:styleId="FootnoteReference">
    <w:name w:val="footnote reference"/>
    <w:basedOn w:val="DefaultParagraphFont"/>
    <w:rsid w:val="00FD1471"/>
    <w:rPr>
      <w:rFonts w:cs="Times New Roman"/>
      <w:vertAlign w:val="superscript"/>
    </w:rPr>
  </w:style>
  <w:style w:type="character" w:customStyle="1" w:styleId="Heading2Char">
    <w:name w:val="Heading 2 Char"/>
    <w:basedOn w:val="DefaultParagraphFont"/>
    <w:link w:val="Heading2"/>
    <w:uiPriority w:val="9"/>
    <w:semiHidden/>
    <w:rsid w:val="00D520D6"/>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rsid w:val="00D520D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D520D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3760">
      <w:bodyDiv w:val="1"/>
      <w:marLeft w:val="0"/>
      <w:marRight w:val="0"/>
      <w:marTop w:val="0"/>
      <w:marBottom w:val="0"/>
      <w:divBdr>
        <w:top w:val="none" w:sz="0" w:space="0" w:color="auto"/>
        <w:left w:val="none" w:sz="0" w:space="0" w:color="auto"/>
        <w:bottom w:val="none" w:sz="0" w:space="0" w:color="auto"/>
        <w:right w:val="none" w:sz="0" w:space="0" w:color="auto"/>
      </w:divBdr>
    </w:div>
    <w:div w:id="547647172">
      <w:bodyDiv w:val="1"/>
      <w:marLeft w:val="0"/>
      <w:marRight w:val="0"/>
      <w:marTop w:val="0"/>
      <w:marBottom w:val="0"/>
      <w:divBdr>
        <w:top w:val="none" w:sz="0" w:space="0" w:color="auto"/>
        <w:left w:val="none" w:sz="0" w:space="0" w:color="auto"/>
        <w:bottom w:val="none" w:sz="0" w:space="0" w:color="auto"/>
        <w:right w:val="none" w:sz="0" w:space="0" w:color="auto"/>
      </w:divBdr>
    </w:div>
    <w:div w:id="765343919">
      <w:bodyDiv w:val="1"/>
      <w:marLeft w:val="0"/>
      <w:marRight w:val="0"/>
      <w:marTop w:val="0"/>
      <w:marBottom w:val="0"/>
      <w:divBdr>
        <w:top w:val="none" w:sz="0" w:space="0" w:color="auto"/>
        <w:left w:val="none" w:sz="0" w:space="0" w:color="auto"/>
        <w:bottom w:val="none" w:sz="0" w:space="0" w:color="auto"/>
        <w:right w:val="none" w:sz="0" w:space="0" w:color="auto"/>
      </w:divBdr>
    </w:div>
    <w:div w:id="1387333399">
      <w:bodyDiv w:val="1"/>
      <w:marLeft w:val="0"/>
      <w:marRight w:val="0"/>
      <w:marTop w:val="0"/>
      <w:marBottom w:val="0"/>
      <w:divBdr>
        <w:top w:val="none" w:sz="0" w:space="0" w:color="auto"/>
        <w:left w:val="none" w:sz="0" w:space="0" w:color="auto"/>
        <w:bottom w:val="none" w:sz="0" w:space="0" w:color="auto"/>
        <w:right w:val="none" w:sz="0" w:space="0" w:color="auto"/>
      </w:divBdr>
    </w:div>
    <w:div w:id="1771966448">
      <w:bodyDiv w:val="1"/>
      <w:marLeft w:val="0"/>
      <w:marRight w:val="0"/>
      <w:marTop w:val="0"/>
      <w:marBottom w:val="0"/>
      <w:divBdr>
        <w:top w:val="none" w:sz="0" w:space="0" w:color="auto"/>
        <w:left w:val="none" w:sz="0" w:space="0" w:color="auto"/>
        <w:bottom w:val="none" w:sz="0" w:space="0" w:color="auto"/>
        <w:right w:val="none" w:sz="0" w:space="0" w:color="auto"/>
      </w:divBdr>
    </w:div>
    <w:div w:id="198314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organisations/department-of-health/about/publication-schem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kathy.mann@dh.gsi.gov.uk" TargetMode="External"/><Relationship Id="rId7" Type="http://schemas.microsoft.com/office/2007/relationships/stylesWithEffects" Target="stylesWithEffects.xml"/><Relationship Id="rId12" Type="http://schemas.openxmlformats.org/officeDocument/2006/relationships/hyperlink" Target="https://ico.org.uk/for-organisations/guide-to-freedom-of-information/what-is-the-foi-act/"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11.vsd"/><Relationship Id="rId23" Type="http://schemas.openxmlformats.org/officeDocument/2006/relationships/hyperlink" Target="http://www.invo.org.uk/wp-content/uploads/2011/12/NIHRProgrammesPaymentRates2009.pdf"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http://www.nihr.ac.uk/CCF/PPI/CCF%20Public%20Payment%20Guide_FINAL_Aug2014_v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C239AD3FD77B4484A6AA56DA97AB00" ma:contentTypeVersion="11" ma:contentTypeDescription="Create a new document." ma:contentTypeScope="" ma:versionID="d91a358e6519fc35d507b35cf12f8ebb">
  <xsd:schema xmlns:xsd="http://www.w3.org/2001/XMLSchema" xmlns:xs="http://www.w3.org/2001/XMLSchema" xmlns:p="http://schemas.microsoft.com/office/2006/metadata/properties" xmlns:ns2="f02d8c5d-b3c8-4ea0-828f-8d8f9ff8d284" targetNamespace="http://schemas.microsoft.com/office/2006/metadata/properties" ma:root="true" ma:fieldsID="e5f9e17338c1936aa12d153fc4805b33" ns2:_="">
    <xsd:import namespace="f02d8c5d-b3c8-4ea0-828f-8d8f9ff8d284"/>
    <xsd:element name="properties">
      <xsd:complexType>
        <xsd:sequence>
          <xsd:element name="documentManagement">
            <xsd:complexType>
              <xsd:all>
                <xsd:element ref="ns2:Task_x0020_type" minOccurs="0"/>
                <xsd:element ref="ns2:Area" minOccurs="0"/>
                <xsd:element ref="ns2:Document_x0020_type" minOccurs="0"/>
                <xsd:element ref="ns2:Topics" minOccurs="0"/>
                <xsd:element ref="ns2:Publ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2d8c5d-b3c8-4ea0-828f-8d8f9ff8d284" elementFormDefault="qualified">
    <xsd:import namespace="http://schemas.microsoft.com/office/2006/documentManagement/types"/>
    <xsd:import namespace="http://schemas.microsoft.com/office/infopath/2007/PartnerControls"/>
    <xsd:element name="Task_x0020_type" ma:index="4" nillable="true" ma:displayName="Task type" ma:format="Dropdown" ma:internalName="Task_x0020_type">
      <xsd:simpleType>
        <xsd:restriction base="dms:Choice">
          <xsd:enumeration value="General Office"/>
          <xsd:enumeration value="Commissioning"/>
          <xsd:enumeration value="Monitoring"/>
          <xsd:enumeration value="Customer service"/>
          <xsd:enumeration value="Information requests"/>
          <xsd:enumeration value="Training record"/>
          <xsd:enumeration value="Training programme"/>
          <xsd:enumeration value="New employee"/>
          <xsd:enumeration value="Background information"/>
          <xsd:enumeration value="Yellow file contents"/>
          <xsd:enumeration value="Standard application form"/>
          <xsd:enumeration value="NETSCC"/>
          <xsd:enumeration value="DH"/>
        </xsd:restriction>
      </xsd:simpleType>
    </xsd:element>
    <xsd:element name="Area" ma:index="5" nillable="true" ma:displayName="Area" ma:format="Dropdown" ma:internalName="Area">
      <xsd:simpleType>
        <xsd:restriction base="dms:Choice">
          <xsd:enumeration value="Operations"/>
          <xsd:enumeration value="Training"/>
          <xsd:enumeration value="Quality and safety"/>
          <xsd:enumeration value="IS"/>
          <xsd:enumeration value="Finance &amp; Contracts"/>
          <xsd:enumeration value="RMS"/>
          <xsd:enumeration value="Group"/>
          <xsd:enumeration value="Comms"/>
        </xsd:restriction>
      </xsd:simpleType>
    </xsd:element>
    <xsd:element name="Document_x0020_type" ma:index="6" nillable="true" ma:displayName="Document type" ma:format="Dropdown" ma:internalName="Document_x0020_type">
      <xsd:simpleType>
        <xsd:restriction base="dms:Choice">
          <xsd:enumeration value="SOP"/>
          <xsd:enumeration value="Guidance"/>
          <xsd:enumeration value="Draft SOP"/>
          <xsd:enumeration value="Draft guidance"/>
          <xsd:enumeration value="Background docs"/>
          <xsd:enumeration value="Training record docs"/>
          <xsd:enumeration value="Training record content requirements"/>
          <xsd:enumeration value="Handouts"/>
          <xsd:enumeration value="Tutor's notes"/>
          <xsd:enumeration value="Attendance register"/>
          <xsd:enumeration value="Welcome pack"/>
          <xsd:enumeration value="Work instructions"/>
          <xsd:enumeration value="Audit reports"/>
          <xsd:enumeration value="Training programme"/>
          <xsd:enumeration value="File contents"/>
          <xsd:enumeration value="Risk assessment"/>
          <xsd:enumeration value="Presentation"/>
          <xsd:enumeration value="Letter"/>
          <xsd:enumeration value="Exercise"/>
          <xsd:enumeration value="Internal guidance"/>
          <xsd:enumeration value="External guidance"/>
          <xsd:enumeration value="Quality procedure"/>
          <xsd:enumeration value="Template"/>
          <xsd:enumeration value="Meeting note"/>
          <xsd:enumeration value="Course outline"/>
          <xsd:enumeration value="Sherpa report"/>
          <xsd:enumeration value="UKPMC"/>
          <xsd:enumeration value="Metrics"/>
          <xsd:enumeration value="Organogram"/>
          <xsd:enumeration value="Style guide"/>
          <xsd:enumeration value="Presentation Handouts"/>
          <xsd:enumeration value="Change control log"/>
          <xsd:enumeration value="Policy directive"/>
          <xsd:enumeration value="Parking"/>
          <xsd:enumeration value="Org Chart"/>
          <xsd:enumeration value="Transparency"/>
          <xsd:enumeration value="Document Control Log"/>
          <xsd:enumeration value="Emergency Procedures"/>
          <xsd:enumeration value="Training Handouts"/>
          <xsd:enumeration value="Parking Map"/>
          <xsd:enumeration value="For Comment"/>
          <xsd:enumeration value="New Starter"/>
          <xsd:enumeration value="NIHR introduction"/>
          <xsd:enumeration value="GMG Working Group Directory"/>
          <xsd:enumeration value="Feedback"/>
          <xsd:enumeration value="Service offering"/>
          <xsd:enumeration value="GMG Yellow Quality File"/>
          <xsd:enumeration value="PIM Outputs"/>
        </xsd:restriction>
      </xsd:simpleType>
    </xsd:element>
    <xsd:element name="Topics" ma:index="7" nillable="true" ma:displayName="Topics" ma:list="c400cca1-13c1-4503-9730-0bbe8a2c98e4" ma:internalName="Topics" ma:readOnly="false" ma:showField="Title">
      <xsd:complexType>
        <xsd:complexContent>
          <xsd:extension base="dms:MultiChoiceLookup">
            <xsd:sequence>
              <xsd:element name="Value" type="dms:Lookup" maxOccurs="unbounded" minOccurs="0" nillable="true"/>
            </xsd:sequence>
          </xsd:extension>
        </xsd:complexContent>
      </xsd:complexType>
    </xsd:element>
    <xsd:element name="Public" ma:index="9" nillable="true" ma:displayName="Public" ma:default="0" ma:internalName="Public"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s xmlns="f02d8c5d-b3c8-4ea0-828f-8d8f9ff8d284"/>
    <Public xmlns="f02d8c5d-b3c8-4ea0-828f-8d8f9ff8d284">false</Public>
    <Document_x0020_type xmlns="f02d8c5d-b3c8-4ea0-828f-8d8f9ff8d284" xsi:nil="true"/>
    <Task_x0020_type xmlns="f02d8c5d-b3c8-4ea0-828f-8d8f9ff8d284" xsi:nil="true"/>
    <Area xmlns="f02d8c5d-b3c8-4ea0-828f-8d8f9ff8d28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A87A8-6645-489C-B69C-4FD23FE9B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2d8c5d-b3c8-4ea0-828f-8d8f9ff8d2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A7C46-F4D0-4CCE-81DF-D9371F30EC75}">
  <ds:schemaRefs>
    <ds:schemaRef ds:uri="http://schemas.microsoft.com/sharepoint/v3/contenttype/forms"/>
  </ds:schemaRefs>
</ds:datastoreItem>
</file>

<file path=customXml/itemProps3.xml><?xml version="1.0" encoding="utf-8"?>
<ds:datastoreItem xmlns:ds="http://schemas.openxmlformats.org/officeDocument/2006/customXml" ds:itemID="{36801031-5BEF-49FF-B9F9-9342A04EE816}">
  <ds:schemaRefs>
    <ds:schemaRef ds:uri="http://schemas.openxmlformats.org/package/2006/metadata/core-properties"/>
    <ds:schemaRef ds:uri="http://purl.org/dc/dcmitype/"/>
    <ds:schemaRef ds:uri="http://purl.org/dc/elements/1.1/"/>
    <ds:schemaRef ds:uri="f02d8c5d-b3c8-4ea0-828f-8d8f9ff8d284"/>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44A9728-9501-475C-AEE4-E32281A8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8662</Words>
  <Characters>49378</Characters>
  <Application>Microsoft Office Word</Application>
  <DocSecurity>4</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LGC</Company>
  <LinksUpToDate>false</LinksUpToDate>
  <CharactersWithSpaces>57925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blake.simpson</dc:creator>
  <cp:lastModifiedBy>Brown, Sam</cp:lastModifiedBy>
  <cp:revision>2</cp:revision>
  <dcterms:created xsi:type="dcterms:W3CDTF">2016-03-14T11:50:00Z</dcterms:created>
  <dcterms:modified xsi:type="dcterms:W3CDTF">2016-03-14T11:50:00Z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0x01010088C239AD3FD77B4484A6AA56DA97AB00</vt:lpwstr>
  </property>
</Properties>
</file>